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714FE0">
      <w:pPr>
        <w:adjustRightInd w:val="0"/>
        <w:snapToGrid w:val="0"/>
        <w:spacing w:line="300" w:lineRule="auto"/>
        <w:jc w:val="left"/>
        <w:textAlignment w:val="baseline"/>
        <w:rPr>
          <w:rFonts w:hint="eastAsia" w:ascii="宋体" w:hAnsi="宋体" w:cs="宋体"/>
          <w:sz w:val="44"/>
        </w:rPr>
      </w:pPr>
    </w:p>
    <w:p w14:paraId="39124208">
      <w:pPr>
        <w:tabs>
          <w:tab w:val="left" w:pos="7350"/>
        </w:tabs>
        <w:rPr>
          <w:rFonts w:hint="eastAsia" w:ascii="宋体" w:hAnsi="宋体" w:cs="宋体"/>
          <w:sz w:val="44"/>
        </w:rPr>
      </w:pPr>
    </w:p>
    <w:p w14:paraId="0C7BF7EA">
      <w:pPr>
        <w:spacing w:line="360" w:lineRule="auto"/>
        <w:jc w:val="center"/>
        <w:outlineLvl w:val="0"/>
        <w:rPr>
          <w:rFonts w:hint="eastAsia" w:ascii="宋体" w:hAnsi="宋体" w:cs="宋体"/>
          <w:b/>
          <w:bCs/>
          <w:sz w:val="52"/>
        </w:rPr>
      </w:pPr>
      <w:r>
        <w:rPr>
          <w:rFonts w:hint="eastAsia" w:ascii="宋体" w:hAnsi="宋体" w:cs="宋体"/>
          <w:b/>
          <w:bCs/>
          <w:sz w:val="52"/>
        </w:rPr>
        <w:t>焊机自动化改造</w:t>
      </w:r>
    </w:p>
    <w:p w14:paraId="0AE278AB">
      <w:pPr>
        <w:spacing w:line="500" w:lineRule="exact"/>
        <w:jc w:val="center"/>
        <w:rPr>
          <w:rFonts w:hint="eastAsia" w:ascii="宋体" w:hAnsi="宋体" w:cs="宋体"/>
          <w:b/>
          <w:bCs/>
          <w:sz w:val="52"/>
        </w:rPr>
      </w:pPr>
    </w:p>
    <w:p w14:paraId="2D3BF57D">
      <w:pPr>
        <w:tabs>
          <w:tab w:val="left" w:pos="7350"/>
        </w:tabs>
        <w:jc w:val="center"/>
        <w:rPr>
          <w:rFonts w:hint="eastAsia" w:ascii="宋体" w:hAnsi="宋体" w:cs="宋体"/>
          <w:b/>
          <w:sz w:val="44"/>
          <w:szCs w:val="44"/>
        </w:rPr>
      </w:pPr>
      <w:r>
        <w:rPr>
          <w:rFonts w:hint="eastAsia" w:ascii="宋体" w:hAnsi="宋体" w:cs="宋体"/>
          <w:b/>
          <w:sz w:val="44"/>
          <w:szCs w:val="44"/>
        </w:rPr>
        <w:t>【标书编号：2025-15-技改-027/028】</w:t>
      </w:r>
    </w:p>
    <w:p w14:paraId="70458D2E">
      <w:pPr>
        <w:spacing w:line="1200" w:lineRule="exact"/>
        <w:jc w:val="center"/>
        <w:rPr>
          <w:rFonts w:hint="eastAsia" w:ascii="宋体" w:hAnsi="宋体" w:cs="宋体"/>
          <w:b/>
          <w:bCs/>
          <w:sz w:val="84"/>
          <w:szCs w:val="52"/>
        </w:rPr>
      </w:pPr>
      <w:r>
        <w:rPr>
          <w:rFonts w:hint="eastAsia" w:ascii="宋体" w:hAnsi="宋体" w:cs="宋体"/>
          <w:b/>
          <w:bCs/>
          <w:sz w:val="84"/>
          <w:szCs w:val="52"/>
        </w:rPr>
        <w:t>招</w:t>
      </w:r>
    </w:p>
    <w:p w14:paraId="37461692">
      <w:pPr>
        <w:spacing w:line="1200" w:lineRule="exact"/>
        <w:jc w:val="center"/>
        <w:rPr>
          <w:rFonts w:hint="eastAsia" w:ascii="宋体" w:hAnsi="宋体" w:cs="宋体"/>
          <w:b/>
          <w:bCs/>
          <w:sz w:val="84"/>
          <w:szCs w:val="52"/>
        </w:rPr>
      </w:pPr>
      <w:r>
        <w:rPr>
          <w:rFonts w:hint="eastAsia" w:ascii="宋体" w:hAnsi="宋体" w:cs="宋体"/>
          <w:b/>
          <w:bCs/>
          <w:sz w:val="84"/>
          <w:szCs w:val="52"/>
        </w:rPr>
        <w:t>标</w:t>
      </w:r>
    </w:p>
    <w:p w14:paraId="16DCB86E">
      <w:pPr>
        <w:spacing w:line="1200" w:lineRule="exact"/>
        <w:jc w:val="center"/>
        <w:rPr>
          <w:rFonts w:hint="eastAsia" w:ascii="宋体" w:hAnsi="宋体" w:cs="宋体"/>
          <w:b/>
          <w:bCs/>
          <w:sz w:val="84"/>
          <w:szCs w:val="52"/>
        </w:rPr>
      </w:pPr>
      <w:r>
        <w:rPr>
          <w:rFonts w:hint="eastAsia" w:ascii="宋体" w:hAnsi="宋体" w:cs="宋体"/>
          <w:b/>
          <w:bCs/>
          <w:sz w:val="84"/>
          <w:szCs w:val="52"/>
        </w:rPr>
        <w:t>文</w:t>
      </w:r>
    </w:p>
    <w:p w14:paraId="2C9C2230">
      <w:pPr>
        <w:spacing w:line="1200" w:lineRule="exact"/>
        <w:jc w:val="center"/>
        <w:rPr>
          <w:rFonts w:hint="eastAsia" w:ascii="宋体" w:hAnsi="宋体" w:cs="宋体"/>
          <w:b/>
          <w:bCs/>
          <w:sz w:val="84"/>
          <w:szCs w:val="52"/>
        </w:rPr>
      </w:pPr>
      <w:r>
        <w:rPr>
          <w:rFonts w:hint="eastAsia" w:ascii="宋体" w:hAnsi="宋体" w:cs="宋体"/>
          <w:b/>
          <w:bCs/>
          <w:sz w:val="84"/>
          <w:szCs w:val="52"/>
        </w:rPr>
        <w:t>件</w:t>
      </w:r>
    </w:p>
    <w:p w14:paraId="7CD85730">
      <w:pPr>
        <w:spacing w:line="500" w:lineRule="exact"/>
        <w:jc w:val="center"/>
        <w:rPr>
          <w:rFonts w:hint="eastAsia" w:ascii="宋体" w:hAnsi="宋体" w:cs="宋体"/>
          <w:b/>
          <w:bCs/>
          <w:spacing w:val="4"/>
          <w:sz w:val="48"/>
        </w:rPr>
      </w:pPr>
    </w:p>
    <w:p w14:paraId="1295BEC8">
      <w:pPr>
        <w:spacing w:line="500" w:lineRule="exact"/>
        <w:jc w:val="center"/>
        <w:rPr>
          <w:rFonts w:hint="eastAsia" w:ascii="宋体" w:hAnsi="宋体" w:cs="宋体"/>
          <w:b/>
          <w:bCs/>
          <w:spacing w:val="4"/>
          <w:sz w:val="48"/>
        </w:rPr>
      </w:pPr>
    </w:p>
    <w:p w14:paraId="15C4B954">
      <w:pPr>
        <w:spacing w:line="500" w:lineRule="exact"/>
        <w:jc w:val="center"/>
        <w:rPr>
          <w:rFonts w:hint="eastAsia" w:ascii="宋体" w:hAnsi="宋体" w:cs="宋体"/>
          <w:b/>
          <w:bCs/>
          <w:spacing w:val="4"/>
          <w:sz w:val="48"/>
        </w:rPr>
      </w:pPr>
    </w:p>
    <w:p w14:paraId="3706879C">
      <w:pPr>
        <w:spacing w:line="500" w:lineRule="exact"/>
        <w:jc w:val="center"/>
        <w:rPr>
          <w:rFonts w:hint="eastAsia" w:ascii="宋体" w:hAnsi="宋体" w:cs="宋体"/>
          <w:b/>
          <w:bCs/>
          <w:sz w:val="52"/>
          <w:szCs w:val="52"/>
        </w:rPr>
      </w:pPr>
      <w:r>
        <w:rPr>
          <w:rFonts w:hint="eastAsia" w:ascii="宋体" w:hAnsi="宋体" w:cs="宋体"/>
          <w:b/>
          <w:bCs/>
          <w:sz w:val="52"/>
          <w:szCs w:val="52"/>
        </w:rPr>
        <w:t>加西贝拉压缩机有限公司</w:t>
      </w:r>
    </w:p>
    <w:p w14:paraId="108D3913">
      <w:pPr>
        <w:jc w:val="center"/>
        <w:rPr>
          <w:rFonts w:hint="eastAsia" w:ascii="宋体" w:hAnsi="宋体" w:cs="宋体"/>
          <w:sz w:val="52"/>
          <w:szCs w:val="52"/>
        </w:rPr>
      </w:pPr>
    </w:p>
    <w:p w14:paraId="14D359BC">
      <w:pPr>
        <w:jc w:val="center"/>
        <w:rPr>
          <w:rFonts w:hint="eastAsia" w:ascii="宋体" w:hAnsi="宋体" w:cs="宋体"/>
          <w:b/>
          <w:bCs/>
          <w:spacing w:val="4"/>
          <w:sz w:val="48"/>
        </w:rPr>
      </w:pPr>
      <w:r>
        <w:rPr>
          <w:rFonts w:hint="eastAsia" w:ascii="宋体" w:hAnsi="宋体" w:cs="宋体"/>
          <w:b/>
          <w:bCs/>
          <w:sz w:val="52"/>
          <w:szCs w:val="52"/>
        </w:rPr>
        <w:t>年    月    日</w:t>
      </w:r>
    </w:p>
    <w:p w14:paraId="0B262DE2">
      <w:pPr>
        <w:overflowPunct w:val="0"/>
        <w:ind w:left="567" w:hanging="567"/>
        <w:jc w:val="center"/>
        <w:rPr>
          <w:rFonts w:hint="eastAsia" w:ascii="宋体" w:hAnsi="宋体" w:cs="宋体"/>
          <w:b/>
          <w:bCs/>
          <w:spacing w:val="4"/>
          <w:sz w:val="48"/>
        </w:rPr>
      </w:pPr>
    </w:p>
    <w:p w14:paraId="52BAED80">
      <w:pPr>
        <w:overflowPunct w:val="0"/>
        <w:ind w:left="567" w:hanging="567"/>
        <w:jc w:val="center"/>
        <w:rPr>
          <w:rFonts w:hint="eastAsia" w:ascii="宋体" w:hAnsi="宋体" w:cs="宋体"/>
          <w:b/>
          <w:bCs/>
          <w:spacing w:val="4"/>
          <w:sz w:val="48"/>
        </w:rPr>
        <w:sectPr>
          <w:headerReference r:id="rId5" w:type="first"/>
          <w:footerReference r:id="rId8" w:type="first"/>
          <w:headerReference r:id="rId3" w:type="default"/>
          <w:footerReference r:id="rId6" w:type="default"/>
          <w:headerReference r:id="rId4" w:type="even"/>
          <w:footerReference r:id="rId7" w:type="even"/>
          <w:pgSz w:w="11906" w:h="16838"/>
          <w:pgMar w:top="1247" w:right="1247" w:bottom="993" w:left="1247" w:header="851" w:footer="992" w:gutter="0"/>
          <w:pgNumType w:start="1"/>
          <w:cols w:space="720" w:num="1"/>
          <w:titlePg/>
          <w:docGrid w:type="lines" w:linePitch="312" w:charSpace="0"/>
        </w:sectPr>
      </w:pPr>
    </w:p>
    <w:sdt>
      <w:sdtPr>
        <w:rPr>
          <w:rFonts w:hint="eastAsia" w:ascii="宋体" w:hAnsi="宋体" w:cs="宋体"/>
        </w:rPr>
        <w:id w:val="147461645"/>
        <w:docPartObj>
          <w:docPartGallery w:val="Table of Contents"/>
          <w:docPartUnique/>
        </w:docPartObj>
      </w:sdtPr>
      <w:sdtEndPr>
        <w:rPr>
          <w:rFonts w:hint="eastAsia" w:ascii="宋体" w:hAnsi="宋体" w:cs="宋体"/>
          <w:spacing w:val="4"/>
        </w:rPr>
      </w:sdtEndPr>
      <w:sdtContent>
        <w:p w14:paraId="68361C64">
          <w:pPr>
            <w:jc w:val="center"/>
            <w:rPr>
              <w:rFonts w:hint="eastAsia" w:ascii="宋体" w:hAnsi="宋体" w:cs="宋体"/>
            </w:rPr>
          </w:pPr>
          <w:bookmarkStart w:id="92" w:name="_GoBack"/>
          <w:bookmarkEnd w:id="92"/>
          <w:r>
            <w:rPr>
              <w:rFonts w:hint="eastAsia" w:ascii="宋体" w:hAnsi="宋体" w:cs="宋体"/>
              <w:sz w:val="32"/>
              <w:szCs w:val="40"/>
            </w:rPr>
            <w:t>目录</w:t>
          </w:r>
        </w:p>
        <w:p w14:paraId="7EEC20CF">
          <w:pPr>
            <w:pStyle w:val="33"/>
            <w:tabs>
              <w:tab w:val="right" w:leader="dot" w:pos="9412"/>
              <w:tab w:val="clear" w:pos="9345"/>
            </w:tabs>
            <w:ind w:firstLine="105"/>
          </w:pPr>
          <w:r>
            <w:rPr>
              <w:rFonts w:hint="eastAsia" w:hAnsi="宋体" w:cs="宋体"/>
              <w:b w:val="0"/>
              <w:bCs w:val="0"/>
              <w:color w:val="auto"/>
              <w:spacing w:val="4"/>
              <w:sz w:val="21"/>
              <w:szCs w:val="21"/>
            </w:rPr>
            <w:fldChar w:fldCharType="begin"/>
          </w:r>
          <w:r>
            <w:rPr>
              <w:rFonts w:hint="eastAsia" w:hAnsi="宋体" w:cs="宋体"/>
              <w:b w:val="0"/>
              <w:bCs w:val="0"/>
              <w:color w:val="auto"/>
              <w:spacing w:val="4"/>
              <w:sz w:val="21"/>
              <w:szCs w:val="21"/>
            </w:rPr>
            <w:instrText xml:space="preserve">TOC \o "1-1" \h \u </w:instrText>
          </w:r>
          <w:r>
            <w:rPr>
              <w:rFonts w:hint="eastAsia" w:hAnsi="宋体" w:cs="宋体"/>
              <w:b w:val="0"/>
              <w:bCs w:val="0"/>
              <w:color w:val="auto"/>
              <w:spacing w:val="4"/>
              <w:sz w:val="21"/>
              <w:szCs w:val="21"/>
            </w:rPr>
            <w:fldChar w:fldCharType="separate"/>
          </w:r>
          <w:r>
            <w:rPr>
              <w:rFonts w:hint="eastAsia" w:hAnsi="宋体" w:cs="宋体"/>
              <w:spacing w:val="4"/>
              <w:szCs w:val="32"/>
            </w:rPr>
            <w:fldChar w:fldCharType="begin"/>
          </w:r>
          <w:r>
            <w:rPr>
              <w:rFonts w:hint="eastAsia" w:hAnsi="宋体" w:cs="宋体"/>
              <w:spacing w:val="4"/>
              <w:szCs w:val="32"/>
            </w:rPr>
            <w:instrText xml:space="preserve"> HYPERLINK \l "_Toc14577" </w:instrText>
          </w:r>
          <w:r>
            <w:rPr>
              <w:rFonts w:hint="eastAsia" w:hAnsi="宋体" w:cs="宋体"/>
              <w:spacing w:val="4"/>
              <w:szCs w:val="32"/>
            </w:rPr>
            <w:fldChar w:fldCharType="separate"/>
          </w:r>
          <w:r>
            <w:rPr>
              <w:rFonts w:hint="eastAsia" w:hAnsi="宋体" w:cs="宋体"/>
              <w:color w:val="000000"/>
              <w:spacing w:val="4"/>
              <w:szCs w:val="32"/>
              <w:u w:val="none"/>
            </w:rPr>
            <w:t>焊机自动化改造</w:t>
          </w:r>
          <w:r>
            <w:rPr>
              <w:rFonts w:hint="eastAsia" w:hAnsi="宋体" w:cs="宋体"/>
              <w:spacing w:val="4"/>
              <w:szCs w:val="32"/>
            </w:rPr>
            <w:tab/>
          </w:r>
          <w:r>
            <w:rPr>
              <w:rFonts w:hint="eastAsia" w:hAnsi="宋体" w:cs="宋体"/>
              <w:spacing w:val="4"/>
              <w:szCs w:val="32"/>
            </w:rPr>
            <w:fldChar w:fldCharType="begin"/>
          </w:r>
          <w:r>
            <w:rPr>
              <w:rFonts w:hint="eastAsia" w:hAnsi="宋体" w:cs="宋体"/>
              <w:spacing w:val="4"/>
              <w:szCs w:val="32"/>
            </w:rPr>
            <w:instrText xml:space="preserve"> PAGEREF _Toc14577 \h </w:instrText>
          </w:r>
          <w:r>
            <w:rPr>
              <w:rFonts w:hint="eastAsia" w:hAnsi="宋体" w:cs="宋体"/>
              <w:spacing w:val="4"/>
              <w:szCs w:val="32"/>
            </w:rPr>
            <w:fldChar w:fldCharType="separate"/>
          </w:r>
          <w:r>
            <w:rPr>
              <w:rFonts w:hint="eastAsia" w:hAnsi="宋体" w:cs="宋体"/>
              <w:spacing w:val="4"/>
              <w:szCs w:val="32"/>
            </w:rPr>
            <w:fldChar w:fldCharType="end"/>
          </w:r>
          <w:r>
            <w:rPr>
              <w:rFonts w:hint="eastAsia" w:hAnsi="宋体" w:cs="宋体"/>
              <w:spacing w:val="4"/>
              <w:szCs w:val="32"/>
            </w:rPr>
            <w:fldChar w:fldCharType="end"/>
          </w:r>
          <w:r>
            <w:rPr>
              <w:rFonts w:hint="eastAsia" w:hAnsi="宋体" w:cs="宋体"/>
              <w:color w:val="auto"/>
              <w:spacing w:val="4"/>
              <w:szCs w:val="21"/>
            </w:rPr>
            <w:t>2</w:t>
          </w:r>
        </w:p>
        <w:p w14:paraId="43B3A866">
          <w:pPr>
            <w:pStyle w:val="33"/>
            <w:tabs>
              <w:tab w:val="right" w:leader="dot" w:pos="9412"/>
              <w:tab w:val="clear" w:pos="9345"/>
            </w:tabs>
          </w:pPr>
          <w:r>
            <w:fldChar w:fldCharType="begin"/>
          </w:r>
          <w:r>
            <w:instrText xml:space="preserve"> HYPERLINK \l "_Toc9297" </w:instrText>
          </w:r>
          <w:r>
            <w:fldChar w:fldCharType="separate"/>
          </w:r>
          <w:r>
            <w:rPr>
              <w:rFonts w:hint="eastAsia" w:hAnsi="宋体" w:cs="宋体"/>
              <w:spacing w:val="4"/>
              <w:szCs w:val="32"/>
            </w:rPr>
            <w:t>第一章 投标须知</w:t>
          </w:r>
          <w:r>
            <w:tab/>
          </w:r>
          <w:r>
            <w:fldChar w:fldCharType="begin"/>
          </w:r>
          <w:r>
            <w:instrText xml:space="preserve"> PAGEREF _Toc9297 \h </w:instrText>
          </w:r>
          <w:r>
            <w:fldChar w:fldCharType="separate"/>
          </w:r>
          <w:r>
            <w:t>3</w:t>
          </w:r>
          <w:r>
            <w:fldChar w:fldCharType="end"/>
          </w:r>
          <w:r>
            <w:fldChar w:fldCharType="end"/>
          </w:r>
        </w:p>
        <w:p w14:paraId="5E502CFD">
          <w:pPr>
            <w:pStyle w:val="33"/>
            <w:tabs>
              <w:tab w:val="right" w:leader="dot" w:pos="9412"/>
              <w:tab w:val="clear" w:pos="9345"/>
            </w:tabs>
          </w:pPr>
          <w:r>
            <w:fldChar w:fldCharType="begin"/>
          </w:r>
          <w:r>
            <w:instrText xml:space="preserve"> HYPERLINK \l "_Toc14873" </w:instrText>
          </w:r>
          <w:r>
            <w:fldChar w:fldCharType="separate"/>
          </w:r>
          <w:r>
            <w:rPr>
              <w:rFonts w:hint="eastAsia" w:hAnsi="宋体" w:cs="宋体"/>
              <w:spacing w:val="4"/>
            </w:rPr>
            <w:t>第二章 合</w:t>
          </w:r>
          <w:r>
            <w:rPr>
              <w:rFonts w:hint="eastAsia" w:hAnsi="宋体" w:cs="宋体"/>
              <w:spacing w:val="4"/>
              <w:szCs w:val="32"/>
            </w:rPr>
            <w:t>同一般</w:t>
          </w:r>
          <w:r>
            <w:rPr>
              <w:rFonts w:hint="eastAsia" w:hAnsi="宋体" w:cs="宋体"/>
              <w:spacing w:val="4"/>
            </w:rPr>
            <w:t>条款</w:t>
          </w:r>
          <w:r>
            <w:tab/>
          </w:r>
          <w:r>
            <w:fldChar w:fldCharType="begin"/>
          </w:r>
          <w:r>
            <w:instrText xml:space="preserve"> PAGEREF _Toc14873 \h </w:instrText>
          </w:r>
          <w:r>
            <w:fldChar w:fldCharType="separate"/>
          </w:r>
          <w:r>
            <w:t>7</w:t>
          </w:r>
          <w:r>
            <w:fldChar w:fldCharType="end"/>
          </w:r>
          <w:r>
            <w:fldChar w:fldCharType="end"/>
          </w:r>
        </w:p>
        <w:p w14:paraId="44DAE13E">
          <w:pPr>
            <w:pStyle w:val="33"/>
            <w:tabs>
              <w:tab w:val="right" w:leader="dot" w:pos="9412"/>
              <w:tab w:val="clear" w:pos="9345"/>
            </w:tabs>
          </w:pPr>
          <w:r>
            <w:fldChar w:fldCharType="begin"/>
          </w:r>
          <w:r>
            <w:instrText xml:space="preserve"> HYPERLINK \l "_Toc3" </w:instrText>
          </w:r>
          <w:r>
            <w:fldChar w:fldCharType="separate"/>
          </w:r>
          <w:r>
            <w:rPr>
              <w:rFonts w:hint="eastAsia" w:hAnsi="宋体" w:cs="宋体"/>
              <w:spacing w:val="4"/>
            </w:rPr>
            <w:t xml:space="preserve">第三章 </w:t>
          </w:r>
          <w:r>
            <w:rPr>
              <w:rFonts w:hint="eastAsia" w:hAnsi="宋体" w:cs="宋体"/>
              <w:spacing w:val="4"/>
              <w:szCs w:val="32"/>
            </w:rPr>
            <w:t>技术要</w:t>
          </w:r>
          <w:r>
            <w:rPr>
              <w:rFonts w:hint="eastAsia" w:hAnsi="宋体" w:cs="宋体"/>
              <w:spacing w:val="4"/>
            </w:rPr>
            <w:t>求</w:t>
          </w:r>
          <w:r>
            <w:tab/>
          </w:r>
          <w:r>
            <w:fldChar w:fldCharType="begin"/>
          </w:r>
          <w:r>
            <w:instrText xml:space="preserve"> PAGEREF _Toc3 \h </w:instrText>
          </w:r>
          <w:r>
            <w:fldChar w:fldCharType="separate"/>
          </w:r>
          <w:r>
            <w:t>14</w:t>
          </w:r>
          <w:r>
            <w:fldChar w:fldCharType="end"/>
          </w:r>
          <w:r>
            <w:fldChar w:fldCharType="end"/>
          </w:r>
        </w:p>
        <w:p w14:paraId="1BFFE09E">
          <w:pPr>
            <w:pStyle w:val="33"/>
            <w:tabs>
              <w:tab w:val="right" w:leader="dot" w:pos="9412"/>
              <w:tab w:val="clear" w:pos="9345"/>
            </w:tabs>
          </w:pPr>
          <w:r>
            <w:fldChar w:fldCharType="begin"/>
          </w:r>
          <w:r>
            <w:instrText xml:space="preserve"> HYPERLINK \l "_Toc12907" </w:instrText>
          </w:r>
          <w:r>
            <w:fldChar w:fldCharType="separate"/>
          </w:r>
          <w:r>
            <w:rPr>
              <w:rFonts w:hint="eastAsia" w:hAnsi="宋体" w:cs="宋体"/>
            </w:rPr>
            <w:t>第四章 合同特殊条款</w:t>
          </w:r>
          <w:r>
            <w:tab/>
          </w:r>
          <w:r>
            <w:fldChar w:fldCharType="begin"/>
          </w:r>
          <w:r>
            <w:instrText xml:space="preserve"> PAGEREF _Toc12907 \h </w:instrText>
          </w:r>
          <w:r>
            <w:fldChar w:fldCharType="separate"/>
          </w:r>
          <w:r>
            <w:rPr>
              <w:rFonts w:hint="eastAsia"/>
              <w:lang w:val="en-US" w:eastAsia="zh-CN"/>
            </w:rPr>
            <w:t>21</w:t>
          </w:r>
          <w:r>
            <w:fldChar w:fldCharType="end"/>
          </w:r>
          <w:r>
            <w:fldChar w:fldCharType="end"/>
          </w:r>
        </w:p>
        <w:p w14:paraId="4258BFC0">
          <w:pPr>
            <w:pStyle w:val="33"/>
            <w:tabs>
              <w:tab w:val="right" w:leader="dot" w:pos="9412"/>
              <w:tab w:val="clear" w:pos="9345"/>
            </w:tabs>
            <w:rPr>
              <w:rFonts w:hint="default" w:eastAsia="宋体"/>
              <w:lang w:val="en-US" w:eastAsia="zh-CN"/>
            </w:rPr>
          </w:pPr>
          <w:r>
            <w:fldChar w:fldCharType="begin"/>
          </w:r>
          <w:r>
            <w:instrText xml:space="preserve"> HYPERLINK \l "_Toc19739" </w:instrText>
          </w:r>
          <w:r>
            <w:fldChar w:fldCharType="separate"/>
          </w:r>
          <w:r>
            <w:rPr>
              <w:rFonts w:hint="eastAsia" w:hAnsi="宋体" w:cs="宋体"/>
              <w:szCs w:val="32"/>
            </w:rPr>
            <w:t>附 件</w:t>
          </w:r>
          <w:r>
            <w:tab/>
          </w:r>
          <w:r>
            <w:fldChar w:fldCharType="end"/>
          </w:r>
          <w:r>
            <w:rPr>
              <w:rFonts w:hint="eastAsia"/>
              <w:lang w:val="en-US" w:eastAsia="zh-CN"/>
            </w:rPr>
            <w:t>22</w:t>
          </w:r>
        </w:p>
        <w:p w14:paraId="61C104FC">
          <w:pPr>
            <w:pStyle w:val="33"/>
            <w:tabs>
              <w:tab w:val="right" w:leader="dot" w:pos="9412"/>
              <w:tab w:val="clear" w:pos="9345"/>
            </w:tabs>
            <w:rPr>
              <w:rFonts w:hint="eastAsia" w:eastAsia="宋体"/>
              <w:lang w:eastAsia="zh-CN"/>
            </w:rPr>
          </w:pPr>
          <w:r>
            <w:fldChar w:fldCharType="begin"/>
          </w:r>
          <w:r>
            <w:instrText xml:space="preserve"> HYPERLINK \l "_Toc7878" </w:instrText>
          </w:r>
          <w:r>
            <w:fldChar w:fldCharType="separate"/>
          </w:r>
          <w:r>
            <w:rPr>
              <w:rFonts w:hint="eastAsia" w:hAnsi="宋体" w:cs="宋体"/>
              <w:spacing w:val="4"/>
            </w:rPr>
            <w:t>附表A ：供货范围表</w:t>
          </w:r>
          <w:r>
            <w:tab/>
          </w:r>
          <w:r>
            <w:fldChar w:fldCharType="begin"/>
          </w:r>
          <w:r>
            <w:instrText xml:space="preserve"> PAGEREF _Toc7878 \h </w:instrText>
          </w:r>
          <w:r>
            <w:fldChar w:fldCharType="separate"/>
          </w:r>
          <w:r>
            <w:t>2</w:t>
          </w:r>
          <w:r>
            <w:fldChar w:fldCharType="end"/>
          </w:r>
          <w:r>
            <w:fldChar w:fldCharType="end"/>
          </w:r>
          <w:r>
            <w:rPr>
              <w:rFonts w:hint="eastAsia"/>
              <w:lang w:val="en-US" w:eastAsia="zh-CN"/>
            </w:rPr>
            <w:t>2</w:t>
          </w:r>
        </w:p>
        <w:p w14:paraId="44E92864">
          <w:pPr>
            <w:pStyle w:val="33"/>
            <w:tabs>
              <w:tab w:val="right" w:leader="dot" w:pos="9412"/>
              <w:tab w:val="clear" w:pos="9345"/>
            </w:tabs>
            <w:rPr>
              <w:rFonts w:hint="eastAsia" w:eastAsia="宋体"/>
              <w:lang w:eastAsia="zh-CN"/>
            </w:rPr>
          </w:pPr>
          <w:r>
            <w:fldChar w:fldCharType="begin"/>
          </w:r>
          <w:r>
            <w:instrText xml:space="preserve"> HYPERLINK \l "_Toc24133" </w:instrText>
          </w:r>
          <w:r>
            <w:fldChar w:fldCharType="separate"/>
          </w:r>
          <w:r>
            <w:rPr>
              <w:rFonts w:hint="eastAsia" w:hAnsi="宋体" w:cs="宋体"/>
              <w:spacing w:val="4"/>
            </w:rPr>
            <w:t>附表B ：投标（商务）报价表</w:t>
          </w:r>
          <w:r>
            <w:tab/>
          </w:r>
          <w:r>
            <w:fldChar w:fldCharType="begin"/>
          </w:r>
          <w:r>
            <w:instrText xml:space="preserve"> PAGEREF _Toc24133 \h </w:instrText>
          </w:r>
          <w:r>
            <w:fldChar w:fldCharType="separate"/>
          </w:r>
          <w:r>
            <w:t>2</w:t>
          </w:r>
          <w:r>
            <w:fldChar w:fldCharType="end"/>
          </w:r>
          <w:r>
            <w:fldChar w:fldCharType="end"/>
          </w:r>
          <w:r>
            <w:rPr>
              <w:rFonts w:hint="eastAsia"/>
              <w:lang w:val="en-US" w:eastAsia="zh-CN"/>
            </w:rPr>
            <w:t>2</w:t>
          </w:r>
        </w:p>
        <w:p w14:paraId="3FBF4CEF">
          <w:pPr>
            <w:pStyle w:val="33"/>
            <w:tabs>
              <w:tab w:val="right" w:leader="dot" w:pos="9412"/>
              <w:tab w:val="clear" w:pos="9345"/>
            </w:tabs>
            <w:rPr>
              <w:rFonts w:hint="eastAsia" w:eastAsia="宋体"/>
              <w:lang w:eastAsia="zh-CN"/>
            </w:rPr>
          </w:pPr>
          <w:r>
            <w:fldChar w:fldCharType="begin"/>
          </w:r>
          <w:r>
            <w:instrText xml:space="preserve"> HYPERLINK \l "_Toc30006" </w:instrText>
          </w:r>
          <w:r>
            <w:fldChar w:fldCharType="separate"/>
          </w:r>
          <w:r>
            <w:rPr>
              <w:rFonts w:hint="eastAsia" w:hAnsi="宋体" w:cs="宋体"/>
              <w:spacing w:val="4"/>
            </w:rPr>
            <w:t>附表C ：差异表</w:t>
          </w:r>
          <w:r>
            <w:tab/>
          </w:r>
          <w:r>
            <w:fldChar w:fldCharType="begin"/>
          </w:r>
          <w:r>
            <w:instrText xml:space="preserve"> PAGEREF _Toc30006 \h </w:instrText>
          </w:r>
          <w:r>
            <w:fldChar w:fldCharType="separate"/>
          </w:r>
          <w:r>
            <w:t>2</w:t>
          </w:r>
          <w:r>
            <w:fldChar w:fldCharType="end"/>
          </w:r>
          <w:r>
            <w:fldChar w:fldCharType="end"/>
          </w:r>
          <w:r>
            <w:rPr>
              <w:rFonts w:hint="eastAsia"/>
              <w:lang w:val="en-US" w:eastAsia="zh-CN"/>
            </w:rPr>
            <w:t>2</w:t>
          </w:r>
        </w:p>
        <w:p w14:paraId="28F7470A">
          <w:pPr>
            <w:pStyle w:val="33"/>
            <w:tabs>
              <w:tab w:val="right" w:leader="dot" w:pos="9412"/>
              <w:tab w:val="clear" w:pos="9345"/>
            </w:tabs>
            <w:rPr>
              <w:rFonts w:hint="eastAsia" w:eastAsia="宋体"/>
              <w:lang w:eastAsia="zh-CN"/>
            </w:rPr>
          </w:pPr>
          <w:r>
            <w:fldChar w:fldCharType="begin"/>
          </w:r>
          <w:r>
            <w:instrText xml:space="preserve"> HYPERLINK \l "_Toc5955" </w:instrText>
          </w:r>
          <w:r>
            <w:fldChar w:fldCharType="separate"/>
          </w:r>
          <w:r>
            <w:rPr>
              <w:rFonts w:hint="eastAsia" w:hAnsi="宋体" w:cs="宋体"/>
            </w:rPr>
            <w:t>附：投标书格式</w:t>
          </w:r>
          <w:r>
            <w:tab/>
          </w:r>
          <w:r>
            <w:fldChar w:fldCharType="begin"/>
          </w:r>
          <w:r>
            <w:instrText xml:space="preserve"> PAGEREF _Toc5955 \h </w:instrText>
          </w:r>
          <w:r>
            <w:fldChar w:fldCharType="separate"/>
          </w:r>
          <w:r>
            <w:t>2</w:t>
          </w:r>
          <w:r>
            <w:fldChar w:fldCharType="end"/>
          </w:r>
          <w:r>
            <w:fldChar w:fldCharType="end"/>
          </w:r>
          <w:r>
            <w:rPr>
              <w:rFonts w:hint="eastAsia"/>
              <w:lang w:val="en-US" w:eastAsia="zh-CN"/>
            </w:rPr>
            <w:t>3</w:t>
          </w:r>
        </w:p>
        <w:p w14:paraId="316D18C9">
          <w:pPr>
            <w:overflowPunct w:val="0"/>
            <w:spacing w:line="360" w:lineRule="auto"/>
            <w:ind w:left="567" w:hanging="567"/>
            <w:rPr>
              <w:rFonts w:hint="eastAsia" w:ascii="宋体" w:hAnsi="宋体" w:cs="宋体"/>
              <w:spacing w:val="4"/>
              <w:sz w:val="30"/>
            </w:rPr>
          </w:pPr>
          <w:r>
            <w:rPr>
              <w:rFonts w:hint="eastAsia" w:ascii="宋体" w:hAnsi="宋体" w:cs="宋体"/>
              <w:spacing w:val="4"/>
              <w:szCs w:val="21"/>
            </w:rPr>
            <w:fldChar w:fldCharType="end"/>
          </w:r>
        </w:p>
      </w:sdtContent>
    </w:sdt>
    <w:p w14:paraId="415C9BCE">
      <w:pPr>
        <w:overflowPunct w:val="0"/>
        <w:ind w:left="567" w:hanging="567"/>
        <w:rPr>
          <w:rFonts w:hint="eastAsia" w:ascii="宋体" w:hAnsi="宋体" w:cs="宋体"/>
          <w:spacing w:val="4"/>
          <w:sz w:val="30"/>
        </w:rPr>
      </w:pPr>
    </w:p>
    <w:p w14:paraId="18D1FDF0">
      <w:pPr>
        <w:overflowPunct w:val="0"/>
        <w:ind w:left="567" w:hanging="567"/>
        <w:rPr>
          <w:rFonts w:hint="eastAsia" w:ascii="宋体" w:hAnsi="宋体" w:cs="宋体"/>
          <w:spacing w:val="4"/>
          <w:sz w:val="30"/>
        </w:rPr>
      </w:pPr>
    </w:p>
    <w:p w14:paraId="4B079A55">
      <w:pPr>
        <w:overflowPunct w:val="0"/>
        <w:rPr>
          <w:rFonts w:hint="eastAsia" w:ascii="宋体" w:hAnsi="宋体" w:cs="宋体"/>
          <w:spacing w:val="4"/>
          <w:sz w:val="30"/>
        </w:rPr>
      </w:pPr>
    </w:p>
    <w:p w14:paraId="7DB886EB">
      <w:pPr>
        <w:overflowPunct w:val="0"/>
        <w:rPr>
          <w:rFonts w:hint="eastAsia" w:ascii="宋体" w:hAnsi="宋体" w:cs="宋体"/>
          <w:spacing w:val="4"/>
          <w:sz w:val="30"/>
        </w:rPr>
      </w:pPr>
    </w:p>
    <w:p w14:paraId="2B1CCF9F">
      <w:pPr>
        <w:overflowPunct w:val="0"/>
        <w:rPr>
          <w:rFonts w:hint="eastAsia" w:ascii="宋体" w:hAnsi="宋体" w:cs="宋体"/>
          <w:spacing w:val="4"/>
          <w:sz w:val="30"/>
        </w:rPr>
      </w:pPr>
    </w:p>
    <w:p w14:paraId="0B55D01F">
      <w:pPr>
        <w:overflowPunct w:val="0"/>
        <w:rPr>
          <w:rFonts w:hint="eastAsia" w:ascii="宋体" w:hAnsi="宋体" w:cs="宋体"/>
          <w:spacing w:val="4"/>
          <w:sz w:val="30"/>
        </w:rPr>
      </w:pPr>
    </w:p>
    <w:p w14:paraId="761DE211">
      <w:pPr>
        <w:numPr>
          <w:ilvl w:val="255"/>
          <w:numId w:val="0"/>
        </w:numPr>
        <w:jc w:val="left"/>
        <w:rPr>
          <w:rFonts w:hint="eastAsia" w:ascii="宋体" w:hAnsi="宋体" w:cs="宋体"/>
          <w:b/>
          <w:spacing w:val="4"/>
          <w:sz w:val="32"/>
          <w:szCs w:val="32"/>
        </w:rPr>
      </w:pPr>
      <w:bookmarkStart w:id="0" w:name="_Toc16728"/>
      <w:r>
        <w:rPr>
          <w:rFonts w:hint="eastAsia" w:ascii="宋体" w:hAnsi="宋体" w:cs="宋体"/>
          <w:b/>
          <w:spacing w:val="4"/>
          <w:sz w:val="32"/>
          <w:szCs w:val="32"/>
        </w:rPr>
        <w:br w:type="page"/>
      </w:r>
    </w:p>
    <w:p w14:paraId="737697D7">
      <w:pPr>
        <w:numPr>
          <w:ilvl w:val="0"/>
          <w:numId w:val="2"/>
        </w:numPr>
        <w:overflowPunct w:val="0"/>
        <w:jc w:val="center"/>
        <w:outlineLvl w:val="0"/>
        <w:rPr>
          <w:rFonts w:hint="eastAsia" w:ascii="宋体" w:hAnsi="宋体" w:cs="宋体"/>
          <w:b/>
          <w:spacing w:val="4"/>
          <w:sz w:val="32"/>
          <w:szCs w:val="32"/>
        </w:rPr>
      </w:pPr>
      <w:bookmarkStart w:id="1" w:name="_Toc13976"/>
      <w:bookmarkStart w:id="2" w:name="_Toc1883"/>
      <w:bookmarkStart w:id="3" w:name="_Toc9297"/>
      <w:bookmarkStart w:id="4" w:name="_Toc32333"/>
      <w:bookmarkStart w:id="5" w:name="_Toc31890"/>
      <w:bookmarkStart w:id="6" w:name="_Toc27356"/>
      <w:bookmarkStart w:id="7" w:name="_Toc10816"/>
      <w:bookmarkStart w:id="8" w:name="_Toc32747"/>
      <w:bookmarkStart w:id="9" w:name="_Toc24958"/>
      <w:r>
        <w:rPr>
          <w:rFonts w:hint="eastAsia" w:ascii="宋体" w:hAnsi="宋体" w:cs="宋体"/>
          <w:b/>
          <w:spacing w:val="4"/>
          <w:sz w:val="32"/>
          <w:szCs w:val="32"/>
        </w:rPr>
        <w:t>投标须知</w:t>
      </w:r>
      <w:bookmarkEnd w:id="0"/>
      <w:bookmarkEnd w:id="1"/>
      <w:bookmarkEnd w:id="2"/>
      <w:bookmarkEnd w:id="3"/>
      <w:bookmarkEnd w:id="4"/>
      <w:bookmarkEnd w:id="5"/>
      <w:bookmarkEnd w:id="6"/>
      <w:bookmarkEnd w:id="7"/>
      <w:bookmarkEnd w:id="8"/>
      <w:bookmarkEnd w:id="9"/>
    </w:p>
    <w:p w14:paraId="27AC0213">
      <w:pPr>
        <w:numPr>
          <w:ilvl w:val="1"/>
          <w:numId w:val="3"/>
        </w:numPr>
        <w:overflowPunct w:val="0"/>
        <w:rPr>
          <w:rFonts w:hint="eastAsia" w:ascii="宋体" w:hAnsi="宋体" w:cs="宋体"/>
          <w:spacing w:val="4"/>
          <w:szCs w:val="21"/>
        </w:rPr>
      </w:pPr>
      <w:r>
        <w:rPr>
          <w:rFonts w:hint="eastAsia" w:ascii="宋体" w:hAnsi="宋体" w:cs="宋体"/>
          <w:spacing w:val="4"/>
          <w:szCs w:val="21"/>
        </w:rPr>
        <w:t>标书编号：</w:t>
      </w:r>
    </w:p>
    <w:p w14:paraId="0CD86D32">
      <w:pPr>
        <w:numPr>
          <w:ilvl w:val="1"/>
          <w:numId w:val="3"/>
        </w:numPr>
        <w:overflowPunct w:val="0"/>
        <w:rPr>
          <w:rFonts w:hint="eastAsia" w:ascii="宋体" w:hAnsi="宋体" w:cs="宋体"/>
          <w:spacing w:val="4"/>
          <w:szCs w:val="21"/>
        </w:rPr>
      </w:pPr>
      <w:r>
        <w:rPr>
          <w:rFonts w:hint="eastAsia" w:ascii="宋体" w:hAnsi="宋体" w:cs="宋体"/>
          <w:spacing w:val="4"/>
          <w:szCs w:val="21"/>
        </w:rPr>
        <w:t>招标内容：见第三章《技术要求》</w:t>
      </w:r>
    </w:p>
    <w:p w14:paraId="65E1C5EB">
      <w:pPr>
        <w:numPr>
          <w:ilvl w:val="1"/>
          <w:numId w:val="3"/>
        </w:numPr>
        <w:overflowPunct w:val="0"/>
        <w:rPr>
          <w:rFonts w:hint="eastAsia" w:ascii="宋体" w:hAnsi="宋体" w:cs="宋体"/>
          <w:spacing w:val="4"/>
          <w:szCs w:val="21"/>
        </w:rPr>
      </w:pPr>
      <w:r>
        <w:rPr>
          <w:rFonts w:hint="eastAsia" w:ascii="宋体" w:hAnsi="宋体" w:cs="宋体"/>
          <w:spacing w:val="4"/>
          <w:szCs w:val="21"/>
        </w:rPr>
        <w:t>投标、开标时间地点</w:t>
      </w:r>
    </w:p>
    <w:p w14:paraId="2172AF66">
      <w:pPr>
        <w:numPr>
          <w:ilvl w:val="2"/>
          <w:numId w:val="3"/>
        </w:numPr>
        <w:overflowPunct w:val="0"/>
        <w:rPr>
          <w:rFonts w:hint="eastAsia" w:ascii="宋体" w:hAnsi="宋体" w:cs="宋体"/>
          <w:spacing w:val="4"/>
          <w:szCs w:val="21"/>
        </w:rPr>
      </w:pPr>
      <w:r>
        <w:rPr>
          <w:rFonts w:hint="eastAsia" w:ascii="宋体" w:hAnsi="宋体" w:cs="宋体"/>
          <w:spacing w:val="4"/>
          <w:szCs w:val="21"/>
        </w:rPr>
        <w:t>招标人为加西贝拉压缩机有限公司（以下简称“甲方”“需方”“买方”“招标方”），投标人为投标人参与投标单位（以下简称“乙方”“供方”“投标方”“投标方”）。</w:t>
      </w:r>
    </w:p>
    <w:p w14:paraId="47BFAC87">
      <w:pPr>
        <w:numPr>
          <w:ilvl w:val="2"/>
          <w:numId w:val="3"/>
        </w:numPr>
        <w:overflowPunct w:val="0"/>
        <w:rPr>
          <w:rFonts w:hint="eastAsia" w:ascii="宋体" w:hAnsi="宋体" w:cs="宋体"/>
          <w:spacing w:val="4"/>
          <w:szCs w:val="21"/>
        </w:rPr>
      </w:pPr>
      <w:r>
        <w:rPr>
          <w:rFonts w:hint="eastAsia" w:ascii="宋体" w:hAnsi="宋体" w:cs="宋体"/>
          <w:spacing w:val="4"/>
          <w:szCs w:val="21"/>
        </w:rPr>
        <w:t>招标文件答疑时间：各投标人于投标截止日期前1天提供书面答疑材料，以传真形式传至Fax：0573-82586181，同时将电子文本发送至hhh7800@163.com；招标人将视情况确定采用适当方式予以澄清或以书面形式予以答复；</w:t>
      </w:r>
    </w:p>
    <w:p w14:paraId="1F4A9408">
      <w:pPr>
        <w:numPr>
          <w:ilvl w:val="2"/>
          <w:numId w:val="3"/>
        </w:numPr>
        <w:overflowPunct w:val="0"/>
        <w:rPr>
          <w:rFonts w:hint="eastAsia" w:ascii="宋体" w:hAnsi="宋体" w:cs="宋体"/>
          <w:b/>
          <w:bCs/>
          <w:spacing w:val="4"/>
          <w:szCs w:val="21"/>
        </w:rPr>
      </w:pPr>
      <w:r>
        <w:rPr>
          <w:rFonts w:hint="eastAsia" w:ascii="宋体" w:hAnsi="宋体" w:cs="宋体"/>
          <w:b/>
          <w:bCs/>
          <w:spacing w:val="4"/>
          <w:szCs w:val="21"/>
        </w:rPr>
        <w:t>投标截止日期：2025年06月2</w:t>
      </w:r>
      <w:r>
        <w:rPr>
          <w:rFonts w:hint="eastAsia" w:ascii="宋体" w:hAnsi="宋体" w:cs="宋体"/>
          <w:b/>
          <w:bCs/>
          <w:spacing w:val="4"/>
          <w:szCs w:val="21"/>
          <w:lang w:val="en-US" w:eastAsia="zh-CN"/>
        </w:rPr>
        <w:t>6</w:t>
      </w:r>
      <w:r>
        <w:rPr>
          <w:rFonts w:hint="eastAsia" w:ascii="宋体" w:hAnsi="宋体" w:cs="宋体"/>
          <w:b/>
          <w:bCs/>
          <w:spacing w:val="4"/>
          <w:szCs w:val="21"/>
        </w:rPr>
        <w:t>日上午11:30前（北京时间），其后收到的投标文件，恕不接受。</w:t>
      </w:r>
    </w:p>
    <w:p w14:paraId="0B1DBA58">
      <w:pPr>
        <w:numPr>
          <w:ilvl w:val="2"/>
          <w:numId w:val="3"/>
        </w:numPr>
        <w:overflowPunct w:val="0"/>
        <w:rPr>
          <w:rFonts w:hint="eastAsia" w:ascii="宋体" w:hAnsi="宋体" w:cs="宋体"/>
          <w:spacing w:val="4"/>
          <w:szCs w:val="21"/>
        </w:rPr>
      </w:pPr>
      <w:r>
        <w:rPr>
          <w:rFonts w:hint="eastAsia" w:ascii="宋体" w:hAnsi="宋体" w:cs="宋体"/>
          <w:spacing w:val="4"/>
          <w:szCs w:val="21"/>
        </w:rPr>
        <w:t>投标地点：浙江省嘉兴市南湖区亚中路588号加西贝拉压缩机有限公司设备管理部       联系人：</w:t>
      </w:r>
      <w:r>
        <w:rPr>
          <w:rFonts w:hint="eastAsia" w:ascii="宋体" w:hAnsi="宋体" w:cs="宋体"/>
          <w:spacing w:val="4"/>
          <w:szCs w:val="21"/>
          <w:lang w:val="en-US" w:eastAsia="zh-CN"/>
        </w:rPr>
        <w:t>黄洪和</w:t>
      </w:r>
      <w:r>
        <w:rPr>
          <w:rFonts w:hint="eastAsia" w:ascii="宋体" w:hAnsi="宋体" w:cs="宋体"/>
          <w:spacing w:val="4"/>
          <w:szCs w:val="21"/>
        </w:rPr>
        <w:t xml:space="preserve">    TEL：0086-0573-82861626   FAX：0086-0573-82586181</w:t>
      </w:r>
    </w:p>
    <w:p w14:paraId="0E8287BB">
      <w:pPr>
        <w:numPr>
          <w:ilvl w:val="2"/>
          <w:numId w:val="3"/>
        </w:numPr>
        <w:overflowPunct w:val="0"/>
        <w:rPr>
          <w:rFonts w:hint="eastAsia" w:ascii="宋体" w:hAnsi="宋体" w:cs="宋体"/>
          <w:spacing w:val="4"/>
          <w:szCs w:val="21"/>
        </w:rPr>
      </w:pPr>
      <w:r>
        <w:rPr>
          <w:rFonts w:hint="eastAsia" w:ascii="宋体" w:hAnsi="宋体" w:cs="宋体"/>
          <w:spacing w:val="4"/>
          <w:szCs w:val="21"/>
        </w:rPr>
        <w:t>开标日期：另行通知。</w:t>
      </w:r>
    </w:p>
    <w:p w14:paraId="409DC888">
      <w:pPr>
        <w:numPr>
          <w:ilvl w:val="2"/>
          <w:numId w:val="3"/>
        </w:numPr>
        <w:overflowPunct w:val="0"/>
        <w:rPr>
          <w:rFonts w:hint="eastAsia" w:ascii="宋体" w:hAnsi="宋体" w:cs="宋体"/>
          <w:spacing w:val="4"/>
          <w:szCs w:val="21"/>
        </w:rPr>
      </w:pPr>
      <w:r>
        <w:rPr>
          <w:rFonts w:hint="eastAsia" w:ascii="宋体" w:hAnsi="宋体" w:cs="宋体"/>
          <w:spacing w:val="4"/>
          <w:szCs w:val="21"/>
        </w:rPr>
        <w:t>开标地点：加西贝拉压缩机有限公司。</w:t>
      </w:r>
    </w:p>
    <w:p w14:paraId="0022DAB5">
      <w:pPr>
        <w:numPr>
          <w:ilvl w:val="1"/>
          <w:numId w:val="3"/>
        </w:numPr>
        <w:overflowPunct w:val="0"/>
        <w:rPr>
          <w:rFonts w:hint="eastAsia" w:ascii="宋体" w:hAnsi="宋体" w:cs="宋体"/>
          <w:spacing w:val="4"/>
          <w:szCs w:val="21"/>
        </w:rPr>
      </w:pPr>
      <w:r>
        <w:rPr>
          <w:rFonts w:hint="eastAsia" w:ascii="宋体" w:hAnsi="宋体" w:cs="宋体"/>
          <w:spacing w:val="4"/>
          <w:szCs w:val="21"/>
        </w:rPr>
        <w:t>投标保证金</w:t>
      </w:r>
    </w:p>
    <w:p w14:paraId="542D084D">
      <w:pPr>
        <w:numPr>
          <w:ilvl w:val="2"/>
          <w:numId w:val="3"/>
        </w:numPr>
        <w:overflowPunct w:val="0"/>
        <w:rPr>
          <w:rFonts w:hint="eastAsia" w:ascii="宋体" w:hAnsi="宋体" w:cs="宋体"/>
          <w:spacing w:val="4"/>
          <w:szCs w:val="21"/>
        </w:rPr>
      </w:pPr>
      <w:r>
        <w:rPr>
          <w:rFonts w:hint="eastAsia" w:ascii="宋体" w:hAnsi="宋体" w:cs="宋体"/>
          <w:spacing w:val="4"/>
          <w:szCs w:val="21"/>
        </w:rPr>
        <w:t>本次投标需要投标方在投标截止日期之前</w:t>
      </w:r>
      <w:r>
        <w:rPr>
          <w:rFonts w:hint="eastAsia" w:ascii="宋体" w:hAnsi="宋体" w:cs="宋体"/>
          <w:b/>
          <w:bCs/>
          <w:spacing w:val="4"/>
          <w:szCs w:val="21"/>
        </w:rPr>
        <w:t>向招标方缴纳投标保证金</w:t>
      </w:r>
      <w:r>
        <w:rPr>
          <w:rFonts w:hint="eastAsia" w:ascii="宋体" w:hAnsi="宋体" w:cs="宋体"/>
          <w:b/>
          <w:bCs/>
          <w:spacing w:val="4"/>
          <w:szCs w:val="21"/>
          <w:u w:val="single"/>
        </w:rPr>
        <w:t>人民币</w:t>
      </w:r>
      <w:r>
        <w:rPr>
          <w:rFonts w:hint="eastAsia" w:ascii="宋体" w:hAnsi="宋体" w:cs="宋体"/>
          <w:b/>
          <w:bCs/>
          <w:spacing w:val="4"/>
          <w:szCs w:val="21"/>
          <w:highlight w:val="none"/>
          <w:u w:val="single"/>
        </w:rPr>
        <w:t>叁万</w:t>
      </w:r>
      <w:r>
        <w:rPr>
          <w:rFonts w:hint="eastAsia" w:ascii="宋体" w:hAnsi="宋体" w:cs="宋体"/>
          <w:b/>
          <w:bCs/>
          <w:spacing w:val="4"/>
          <w:szCs w:val="21"/>
          <w:highlight w:val="none"/>
          <w:u w:val="single"/>
          <w:lang w:val="en-US" w:eastAsia="zh-CN"/>
        </w:rPr>
        <w:t>伍</w:t>
      </w:r>
      <w:r>
        <w:rPr>
          <w:rFonts w:hint="eastAsia" w:ascii="宋体" w:hAnsi="宋体" w:cs="宋体"/>
          <w:b/>
          <w:bCs/>
          <w:spacing w:val="4"/>
          <w:szCs w:val="21"/>
          <w:highlight w:val="none"/>
          <w:u w:val="single"/>
        </w:rPr>
        <w:t xml:space="preserve">仟圆整 </w:t>
      </w:r>
      <w:r>
        <w:rPr>
          <w:rFonts w:hint="eastAsia" w:ascii="宋体" w:hAnsi="宋体" w:cs="宋体"/>
          <w:spacing w:val="4"/>
          <w:szCs w:val="21"/>
          <w:highlight w:val="none"/>
        </w:rPr>
        <w:t>，招标方名称：加西贝拉压缩机有限公司，账户：中国建设银行嘉兴分行营业部，账号：33001638047059112233。缴款成功后，招标方会发送收款收据，投标方可在开标后一个月内凭收款收据向招标方索要投标保证金，也可将本次项目保证金抵用后期发生业务货款。</w:t>
      </w:r>
      <w:r>
        <w:rPr>
          <w:rFonts w:hint="eastAsia" w:ascii="宋体" w:hAnsi="宋体" w:cs="宋体"/>
          <w:b/>
          <w:bCs/>
          <w:spacing w:val="4"/>
          <w:szCs w:val="21"/>
          <w:highlight w:val="none"/>
        </w:rPr>
        <w:t>支付时请注明：</w:t>
      </w:r>
      <w:r>
        <w:rPr>
          <w:rFonts w:hint="eastAsia" w:ascii="宋体" w:hAnsi="宋体" w:cs="宋体"/>
          <w:b/>
          <w:bCs/>
          <w:spacing w:val="4"/>
          <w:szCs w:val="21"/>
          <w:highlight w:val="none"/>
          <w:u w:val="single"/>
        </w:rPr>
        <w:t>焊机自动化改造投标保证金3.5万元</w:t>
      </w:r>
      <w:r>
        <w:rPr>
          <w:rFonts w:hint="eastAsia" w:ascii="宋体" w:hAnsi="宋体" w:cs="宋体"/>
          <w:b/>
          <w:bCs/>
          <w:spacing w:val="4"/>
          <w:szCs w:val="21"/>
        </w:rPr>
        <w:t>。</w:t>
      </w:r>
      <w:r>
        <w:rPr>
          <w:rFonts w:hint="eastAsia" w:ascii="宋体" w:hAnsi="宋体" w:cs="宋体"/>
          <w:spacing w:val="4"/>
          <w:szCs w:val="21"/>
        </w:rPr>
        <w:t>也可开具银行保函。</w:t>
      </w:r>
    </w:p>
    <w:p w14:paraId="5EA454CE">
      <w:pPr>
        <w:numPr>
          <w:ilvl w:val="2"/>
          <w:numId w:val="3"/>
        </w:numPr>
        <w:overflowPunct w:val="0"/>
        <w:rPr>
          <w:rFonts w:hint="eastAsia" w:ascii="宋体" w:hAnsi="宋体" w:cs="宋体"/>
          <w:spacing w:val="4"/>
          <w:szCs w:val="21"/>
        </w:rPr>
      </w:pPr>
      <w:r>
        <w:rPr>
          <w:rFonts w:hint="eastAsia" w:ascii="宋体" w:hAnsi="宋体" w:cs="宋体"/>
          <w:spacing w:val="4"/>
          <w:szCs w:val="21"/>
        </w:rPr>
        <w:t>如投标方在投标截止日期未向招标方缴纳投标保证金，且未开具相关证明，则投标无效。</w:t>
      </w:r>
    </w:p>
    <w:p w14:paraId="61563B1A">
      <w:pPr>
        <w:numPr>
          <w:ilvl w:val="2"/>
          <w:numId w:val="3"/>
        </w:numPr>
        <w:overflowPunct w:val="0"/>
        <w:rPr>
          <w:rFonts w:hint="eastAsia" w:ascii="宋体" w:hAnsi="宋体" w:cs="宋体"/>
          <w:b/>
          <w:bCs/>
          <w:spacing w:val="4"/>
          <w:szCs w:val="21"/>
        </w:rPr>
      </w:pPr>
      <w:r>
        <w:rPr>
          <w:rFonts w:hint="eastAsia" w:ascii="宋体" w:hAnsi="宋体" w:cs="宋体"/>
          <w:b/>
          <w:bCs/>
          <w:spacing w:val="4"/>
          <w:szCs w:val="21"/>
        </w:rPr>
        <w:t>下列任何情况发生时，投标保证金将被没收：</w:t>
      </w:r>
    </w:p>
    <w:p w14:paraId="44262D3C">
      <w:pPr>
        <w:numPr>
          <w:ilvl w:val="3"/>
          <w:numId w:val="3"/>
        </w:numPr>
        <w:overflowPunct w:val="0"/>
        <w:rPr>
          <w:rFonts w:hint="eastAsia" w:ascii="宋体" w:hAnsi="宋体" w:cs="宋体"/>
          <w:b/>
          <w:bCs/>
          <w:spacing w:val="4"/>
          <w:szCs w:val="21"/>
        </w:rPr>
      </w:pPr>
      <w:r>
        <w:rPr>
          <w:rFonts w:hint="eastAsia" w:ascii="宋体" w:hAnsi="宋体" w:cs="宋体"/>
          <w:b/>
          <w:bCs/>
          <w:spacing w:val="4"/>
          <w:szCs w:val="21"/>
        </w:rPr>
        <w:t>投标方在招标文件中规定的投标有效期内撤回其投标；</w:t>
      </w:r>
    </w:p>
    <w:p w14:paraId="07A23A01">
      <w:pPr>
        <w:numPr>
          <w:ilvl w:val="3"/>
          <w:numId w:val="3"/>
        </w:numPr>
        <w:overflowPunct w:val="0"/>
        <w:rPr>
          <w:rFonts w:hint="eastAsia" w:ascii="宋体" w:hAnsi="宋体" w:cs="宋体"/>
          <w:b/>
          <w:bCs/>
          <w:spacing w:val="4"/>
          <w:szCs w:val="21"/>
        </w:rPr>
      </w:pPr>
      <w:r>
        <w:rPr>
          <w:rFonts w:hint="eastAsia" w:ascii="宋体" w:hAnsi="宋体" w:cs="宋体"/>
          <w:b/>
          <w:bCs/>
          <w:spacing w:val="4"/>
          <w:szCs w:val="21"/>
        </w:rPr>
        <w:t>投标方提供虚假投标文件或虚假补充文件的；</w:t>
      </w:r>
    </w:p>
    <w:p w14:paraId="7597FEB8">
      <w:pPr>
        <w:numPr>
          <w:ilvl w:val="3"/>
          <w:numId w:val="3"/>
        </w:numPr>
        <w:overflowPunct w:val="0"/>
        <w:rPr>
          <w:rFonts w:hint="eastAsia" w:ascii="宋体" w:hAnsi="宋体" w:cs="宋体"/>
          <w:b/>
          <w:bCs/>
          <w:spacing w:val="4"/>
          <w:szCs w:val="21"/>
        </w:rPr>
      </w:pPr>
      <w:r>
        <w:rPr>
          <w:rFonts w:hint="eastAsia" w:ascii="宋体" w:hAnsi="宋体" w:cs="宋体"/>
          <w:b/>
          <w:bCs/>
          <w:spacing w:val="4"/>
          <w:szCs w:val="21"/>
        </w:rPr>
        <w:t>投标方存在围标、串标等违法行为；</w:t>
      </w:r>
    </w:p>
    <w:p w14:paraId="6313C82F">
      <w:pPr>
        <w:numPr>
          <w:ilvl w:val="3"/>
          <w:numId w:val="3"/>
        </w:numPr>
        <w:overflowPunct w:val="0"/>
        <w:rPr>
          <w:rFonts w:hint="eastAsia" w:ascii="宋体" w:hAnsi="宋体" w:cs="宋体"/>
          <w:b/>
          <w:bCs/>
          <w:spacing w:val="4"/>
          <w:szCs w:val="21"/>
        </w:rPr>
      </w:pPr>
      <w:r>
        <w:rPr>
          <w:rFonts w:hint="eastAsia" w:ascii="宋体" w:hAnsi="宋体" w:cs="宋体"/>
          <w:b/>
          <w:bCs/>
          <w:spacing w:val="4"/>
          <w:szCs w:val="21"/>
        </w:rPr>
        <w:t>中标方在规定期限内拒绝签订合同；</w:t>
      </w:r>
    </w:p>
    <w:p w14:paraId="08F3B048">
      <w:pPr>
        <w:numPr>
          <w:ilvl w:val="3"/>
          <w:numId w:val="3"/>
        </w:numPr>
        <w:overflowPunct w:val="0"/>
        <w:rPr>
          <w:rFonts w:hint="eastAsia" w:ascii="宋体" w:hAnsi="宋体" w:cs="宋体"/>
          <w:b/>
          <w:bCs/>
          <w:spacing w:val="4"/>
          <w:szCs w:val="21"/>
        </w:rPr>
      </w:pPr>
      <w:r>
        <w:rPr>
          <w:rFonts w:hint="eastAsia" w:ascii="宋体" w:hAnsi="宋体" w:cs="宋体"/>
          <w:b/>
          <w:bCs/>
          <w:spacing w:val="4"/>
          <w:szCs w:val="21"/>
        </w:rPr>
        <w:t>其他招标方认定的扰乱本项目招投标的行为。</w:t>
      </w:r>
    </w:p>
    <w:p w14:paraId="07BE81A4">
      <w:pPr>
        <w:numPr>
          <w:ilvl w:val="1"/>
          <w:numId w:val="3"/>
        </w:numPr>
        <w:overflowPunct w:val="0"/>
        <w:rPr>
          <w:rFonts w:hint="eastAsia" w:ascii="宋体" w:hAnsi="宋体" w:cs="宋体"/>
          <w:b/>
          <w:bCs/>
          <w:spacing w:val="4"/>
          <w:szCs w:val="21"/>
        </w:rPr>
      </w:pPr>
      <w:r>
        <w:rPr>
          <w:rFonts w:hint="eastAsia" w:ascii="宋体" w:hAnsi="宋体" w:cs="宋体"/>
          <w:spacing w:val="4"/>
          <w:szCs w:val="21"/>
        </w:rPr>
        <w:t>投标文件的单位制及货币：度量衡采用国家法定单位制（即国际单位制）；</w:t>
      </w:r>
      <w:r>
        <w:rPr>
          <w:rFonts w:hint="eastAsia" w:ascii="宋体" w:hAnsi="宋体" w:cs="宋体"/>
          <w:b/>
          <w:bCs/>
          <w:spacing w:val="4"/>
          <w:szCs w:val="21"/>
        </w:rPr>
        <w:t>本项目使用货币种类为人民币。</w:t>
      </w:r>
    </w:p>
    <w:p w14:paraId="32802EFF">
      <w:pPr>
        <w:numPr>
          <w:ilvl w:val="1"/>
          <w:numId w:val="3"/>
        </w:numPr>
        <w:overflowPunct w:val="0"/>
        <w:rPr>
          <w:rFonts w:hint="eastAsia" w:ascii="宋体" w:hAnsi="宋体" w:cs="宋体"/>
          <w:b/>
          <w:bCs/>
          <w:spacing w:val="4"/>
          <w:szCs w:val="21"/>
        </w:rPr>
      </w:pPr>
      <w:r>
        <w:rPr>
          <w:rFonts w:hint="eastAsia" w:ascii="宋体" w:hAnsi="宋体" w:cs="宋体"/>
          <w:b/>
          <w:bCs/>
          <w:spacing w:val="4"/>
          <w:szCs w:val="21"/>
        </w:rPr>
        <w:t>拟中标方式：</w:t>
      </w:r>
    </w:p>
    <w:p w14:paraId="7A97ABDF">
      <w:pPr>
        <w:numPr>
          <w:ilvl w:val="2"/>
          <w:numId w:val="3"/>
        </w:numPr>
        <w:overflowPunct w:val="0"/>
        <w:rPr>
          <w:rFonts w:hint="eastAsia" w:ascii="宋体" w:hAnsi="宋体" w:cs="宋体"/>
          <w:spacing w:val="4"/>
          <w:szCs w:val="21"/>
        </w:rPr>
      </w:pPr>
      <w:r>
        <w:rPr>
          <w:rFonts w:hint="eastAsia" w:ascii="宋体" w:hAnsi="宋体" w:cs="宋体"/>
          <w:spacing w:val="4"/>
          <w:szCs w:val="21"/>
        </w:rPr>
        <w:t>最低报价不是被授予拟中标及合同的保证。</w:t>
      </w:r>
    </w:p>
    <w:p w14:paraId="27A995E8">
      <w:pPr>
        <w:numPr>
          <w:ilvl w:val="2"/>
          <w:numId w:val="3"/>
        </w:numPr>
        <w:overflowPunct w:val="0"/>
        <w:rPr>
          <w:rFonts w:hint="eastAsia" w:ascii="宋体" w:hAnsi="宋体" w:cs="宋体"/>
          <w:b/>
          <w:bCs/>
          <w:spacing w:val="4"/>
          <w:szCs w:val="21"/>
        </w:rPr>
      </w:pPr>
      <w:r>
        <w:rPr>
          <w:rFonts w:hint="eastAsia" w:ascii="宋体" w:hAnsi="宋体" w:cs="宋体"/>
          <w:b/>
          <w:bCs/>
          <w:spacing w:val="4"/>
          <w:szCs w:val="21"/>
        </w:rPr>
        <w:t>本项目评价方式为综合评分法，技术评分占比40%，商务评分占比60%，根据评标统分高分拟中标，合同将授予对招标人最为有利的投标人。</w:t>
      </w:r>
    </w:p>
    <w:p w14:paraId="2FE89D8E">
      <w:pPr>
        <w:numPr>
          <w:ilvl w:val="1"/>
          <w:numId w:val="3"/>
        </w:numPr>
        <w:overflowPunct w:val="0"/>
        <w:rPr>
          <w:rFonts w:hint="eastAsia" w:ascii="宋体" w:hAnsi="宋体" w:cs="宋体"/>
          <w:spacing w:val="4"/>
          <w:szCs w:val="21"/>
        </w:rPr>
      </w:pPr>
      <w:r>
        <w:rPr>
          <w:rFonts w:hint="eastAsia" w:ascii="宋体" w:hAnsi="宋体" w:cs="宋体"/>
          <w:spacing w:val="4"/>
          <w:szCs w:val="21"/>
        </w:rPr>
        <w:t>招标文件</w:t>
      </w:r>
    </w:p>
    <w:p w14:paraId="09F113E0">
      <w:pPr>
        <w:numPr>
          <w:ilvl w:val="2"/>
          <w:numId w:val="3"/>
        </w:numPr>
        <w:overflowPunct w:val="0"/>
        <w:rPr>
          <w:rFonts w:hint="eastAsia" w:ascii="宋体" w:hAnsi="宋体" w:cs="宋体"/>
          <w:spacing w:val="4"/>
          <w:szCs w:val="21"/>
        </w:rPr>
      </w:pPr>
      <w:r>
        <w:rPr>
          <w:rFonts w:hint="eastAsia" w:ascii="宋体" w:hAnsi="宋体" w:cs="宋体"/>
          <w:spacing w:val="4"/>
          <w:szCs w:val="21"/>
        </w:rPr>
        <w:t>招标文件由第一章《投标须知》、第二章《合同一般条款》、第三章《技术要求》、</w:t>
      </w:r>
      <w:r>
        <w:rPr>
          <w:rFonts w:hint="eastAsia" w:ascii="宋体" w:hAnsi="宋体" w:cs="宋体"/>
          <w:b/>
          <w:bCs/>
          <w:spacing w:val="4"/>
          <w:szCs w:val="21"/>
        </w:rPr>
        <w:t>第四章《合同特殊条款》及附件</w:t>
      </w:r>
      <w:r>
        <w:rPr>
          <w:rFonts w:hint="eastAsia" w:ascii="宋体" w:hAnsi="宋体" w:cs="宋体"/>
          <w:spacing w:val="4"/>
          <w:szCs w:val="21"/>
        </w:rPr>
        <w:t>组成。</w:t>
      </w:r>
    </w:p>
    <w:p w14:paraId="00943033">
      <w:pPr>
        <w:numPr>
          <w:ilvl w:val="2"/>
          <w:numId w:val="3"/>
        </w:numPr>
        <w:overflowPunct w:val="0"/>
        <w:rPr>
          <w:rFonts w:hint="eastAsia" w:ascii="宋体" w:hAnsi="宋体" w:cs="宋体"/>
          <w:spacing w:val="4"/>
          <w:szCs w:val="21"/>
        </w:rPr>
      </w:pPr>
      <w:r>
        <w:rPr>
          <w:rFonts w:hint="eastAsia" w:ascii="宋体" w:hAnsi="宋体" w:cs="宋体"/>
          <w:spacing w:val="4"/>
          <w:szCs w:val="21"/>
        </w:rPr>
        <w:t>投标人应认真阅读招标文件中所有的事项、格式、条款和规范等要求。如果没有按照招标文件要求填写并提交全部资料或者投标文件，没有对招标文件作出实质性响应，该投标有可能被拒绝，其风险应由投标人自行承担。</w:t>
      </w:r>
    </w:p>
    <w:p w14:paraId="5009D45E">
      <w:pPr>
        <w:numPr>
          <w:ilvl w:val="2"/>
          <w:numId w:val="3"/>
        </w:numPr>
        <w:overflowPunct w:val="0"/>
        <w:rPr>
          <w:rFonts w:hint="eastAsia" w:ascii="宋体" w:hAnsi="宋体" w:cs="宋体"/>
          <w:spacing w:val="4"/>
          <w:szCs w:val="21"/>
        </w:rPr>
      </w:pPr>
      <w:r>
        <w:rPr>
          <w:rFonts w:hint="eastAsia" w:ascii="宋体" w:hAnsi="宋体" w:cs="宋体"/>
          <w:spacing w:val="4"/>
          <w:szCs w:val="21"/>
        </w:rPr>
        <w:t>招标文件的修改。</w:t>
      </w:r>
    </w:p>
    <w:p w14:paraId="2424EAB3">
      <w:pPr>
        <w:numPr>
          <w:ilvl w:val="3"/>
          <w:numId w:val="3"/>
        </w:numPr>
        <w:overflowPunct w:val="0"/>
        <w:rPr>
          <w:rFonts w:hint="eastAsia" w:ascii="宋体" w:hAnsi="宋体" w:cs="宋体"/>
          <w:spacing w:val="4"/>
          <w:szCs w:val="21"/>
        </w:rPr>
      </w:pPr>
      <w:r>
        <w:rPr>
          <w:rFonts w:hint="eastAsia" w:ascii="宋体" w:hAnsi="宋体" w:cs="宋体"/>
          <w:spacing w:val="4"/>
          <w:szCs w:val="21"/>
        </w:rPr>
        <w:t>在投标截止日期前的任何时候，无论出于何种原因，招标人可主动或在解答投标人提出的问题时对招标文件进行修改。</w:t>
      </w:r>
    </w:p>
    <w:p w14:paraId="374C9E15">
      <w:pPr>
        <w:numPr>
          <w:ilvl w:val="3"/>
          <w:numId w:val="3"/>
        </w:numPr>
        <w:overflowPunct w:val="0"/>
        <w:rPr>
          <w:rFonts w:hint="eastAsia" w:ascii="宋体" w:hAnsi="宋体" w:cs="宋体"/>
          <w:spacing w:val="4"/>
          <w:szCs w:val="21"/>
        </w:rPr>
      </w:pPr>
      <w:r>
        <w:rPr>
          <w:rFonts w:hint="eastAsia" w:ascii="宋体" w:hAnsi="宋体" w:cs="宋体"/>
          <w:spacing w:val="4"/>
          <w:szCs w:val="21"/>
        </w:rPr>
        <w:t xml:space="preserve">招标文件的修改将以书面形式通知所有购买招标文件的投标人，并对他们具有约束力。投标人应立即以传真形式确认收到的修改文件。 </w:t>
      </w:r>
    </w:p>
    <w:p w14:paraId="1159694B">
      <w:pPr>
        <w:numPr>
          <w:ilvl w:val="3"/>
          <w:numId w:val="3"/>
        </w:numPr>
        <w:overflowPunct w:val="0"/>
        <w:rPr>
          <w:rFonts w:hint="eastAsia" w:ascii="宋体" w:hAnsi="宋体" w:cs="宋体"/>
          <w:spacing w:val="4"/>
          <w:szCs w:val="21"/>
        </w:rPr>
      </w:pPr>
      <w:r>
        <w:rPr>
          <w:rFonts w:hint="eastAsia" w:ascii="宋体" w:hAnsi="宋体" w:cs="宋体"/>
          <w:spacing w:val="4"/>
          <w:szCs w:val="21"/>
        </w:rPr>
        <w:t>为使投标人在编写投标文件时，有充分时间为招标文件的修改部分进行研究，招标人可以酌情延长投标日期，并以书面形式通知购买招标文件的每一投标人。</w:t>
      </w:r>
    </w:p>
    <w:p w14:paraId="2E2917AC">
      <w:pPr>
        <w:numPr>
          <w:ilvl w:val="1"/>
          <w:numId w:val="3"/>
        </w:numPr>
        <w:overflowPunct w:val="0"/>
        <w:rPr>
          <w:rFonts w:hint="eastAsia" w:ascii="宋体" w:hAnsi="宋体" w:cs="宋体"/>
          <w:spacing w:val="4"/>
          <w:szCs w:val="21"/>
        </w:rPr>
      </w:pPr>
      <w:r>
        <w:rPr>
          <w:rFonts w:hint="eastAsia" w:ascii="宋体" w:hAnsi="宋体" w:cs="宋体"/>
          <w:spacing w:val="4"/>
          <w:szCs w:val="21"/>
        </w:rPr>
        <w:t>投标人资质</w:t>
      </w:r>
    </w:p>
    <w:p w14:paraId="797DE883">
      <w:pPr>
        <w:numPr>
          <w:ilvl w:val="2"/>
          <w:numId w:val="3"/>
        </w:numPr>
        <w:overflowPunct w:val="0"/>
        <w:rPr>
          <w:rFonts w:hint="eastAsia" w:ascii="宋体" w:hAnsi="宋体" w:cs="宋体"/>
          <w:spacing w:val="4"/>
          <w:szCs w:val="21"/>
        </w:rPr>
      </w:pPr>
      <w:r>
        <w:rPr>
          <w:rFonts w:hint="eastAsia" w:ascii="宋体" w:hAnsi="宋体" w:cs="宋体"/>
          <w:spacing w:val="4"/>
          <w:szCs w:val="21"/>
        </w:rPr>
        <w:t>合格的投标人应具有完全履行合同的能力，具体应符合下列条件。</w:t>
      </w:r>
    </w:p>
    <w:p w14:paraId="6E4DF148">
      <w:pPr>
        <w:numPr>
          <w:ilvl w:val="3"/>
          <w:numId w:val="3"/>
        </w:numPr>
        <w:overflowPunct w:val="0"/>
        <w:rPr>
          <w:rFonts w:hint="eastAsia" w:ascii="宋体" w:hAnsi="宋体" w:cs="宋体"/>
          <w:spacing w:val="4"/>
          <w:szCs w:val="21"/>
        </w:rPr>
      </w:pPr>
      <w:r>
        <w:rPr>
          <w:rFonts w:hint="eastAsia" w:ascii="宋体" w:hAnsi="宋体" w:cs="宋体"/>
          <w:spacing w:val="4"/>
          <w:szCs w:val="21"/>
        </w:rPr>
        <w:t>在专业技术、设备设施、人员组织、业绩经验等方面具有设计、制造、质量控制、经营管理的相应的资格和能力。</w:t>
      </w:r>
    </w:p>
    <w:p w14:paraId="3F2E5590">
      <w:pPr>
        <w:numPr>
          <w:ilvl w:val="3"/>
          <w:numId w:val="3"/>
        </w:numPr>
        <w:overflowPunct w:val="0"/>
        <w:rPr>
          <w:rFonts w:hint="eastAsia" w:ascii="宋体" w:hAnsi="宋体" w:cs="宋体"/>
          <w:spacing w:val="4"/>
          <w:szCs w:val="21"/>
        </w:rPr>
      </w:pPr>
      <w:r>
        <w:rPr>
          <w:rFonts w:hint="eastAsia" w:ascii="宋体" w:hAnsi="宋体" w:cs="宋体"/>
          <w:spacing w:val="4"/>
          <w:szCs w:val="21"/>
        </w:rPr>
        <w:t xml:space="preserve"> 具有完善的质量保证体系。</w:t>
      </w:r>
    </w:p>
    <w:p w14:paraId="6F953945">
      <w:pPr>
        <w:numPr>
          <w:ilvl w:val="3"/>
          <w:numId w:val="3"/>
        </w:numPr>
        <w:overflowPunct w:val="0"/>
        <w:rPr>
          <w:rFonts w:hint="eastAsia" w:ascii="宋体" w:hAnsi="宋体" w:cs="宋体"/>
          <w:spacing w:val="4"/>
          <w:szCs w:val="21"/>
        </w:rPr>
      </w:pPr>
      <w:r>
        <w:rPr>
          <w:rFonts w:hint="eastAsia" w:ascii="宋体" w:hAnsi="宋体" w:cs="宋体"/>
          <w:spacing w:val="4"/>
          <w:szCs w:val="21"/>
        </w:rPr>
        <w:t xml:space="preserve"> 具有良好的银行资信和商业信誉。</w:t>
      </w:r>
    </w:p>
    <w:p w14:paraId="4AC3029A">
      <w:pPr>
        <w:numPr>
          <w:ilvl w:val="3"/>
          <w:numId w:val="3"/>
        </w:numPr>
        <w:overflowPunct w:val="0"/>
        <w:rPr>
          <w:rFonts w:hint="eastAsia" w:ascii="宋体" w:hAnsi="宋体" w:cs="宋体"/>
          <w:spacing w:val="4"/>
          <w:szCs w:val="21"/>
        </w:rPr>
      </w:pPr>
      <w:r>
        <w:rPr>
          <w:rFonts w:hint="eastAsia" w:ascii="宋体" w:hAnsi="宋体" w:cs="宋体"/>
          <w:spacing w:val="4"/>
          <w:szCs w:val="21"/>
        </w:rPr>
        <w:t xml:space="preserve"> 设备制造商须具有2年以上相关设计制造经验。</w:t>
      </w:r>
    </w:p>
    <w:p w14:paraId="3647B592">
      <w:pPr>
        <w:numPr>
          <w:ilvl w:val="3"/>
          <w:numId w:val="3"/>
        </w:numPr>
        <w:overflowPunct w:val="0"/>
        <w:rPr>
          <w:rFonts w:hint="eastAsia" w:ascii="宋体" w:hAnsi="宋体" w:cs="宋体"/>
          <w:spacing w:val="4"/>
          <w:szCs w:val="21"/>
        </w:rPr>
      </w:pPr>
      <w:r>
        <w:rPr>
          <w:rFonts w:hint="eastAsia" w:ascii="宋体" w:hAnsi="宋体" w:cs="宋体"/>
          <w:spacing w:val="4"/>
          <w:szCs w:val="21"/>
        </w:rPr>
        <w:t xml:space="preserve"> 有相应资质设备制造商的代理协议或授权书。</w:t>
      </w:r>
    </w:p>
    <w:p w14:paraId="780D83E4">
      <w:pPr>
        <w:numPr>
          <w:ilvl w:val="1"/>
          <w:numId w:val="3"/>
        </w:numPr>
        <w:overflowPunct w:val="0"/>
        <w:rPr>
          <w:rFonts w:hint="eastAsia" w:ascii="宋体" w:hAnsi="宋体" w:cs="宋体"/>
          <w:spacing w:val="4"/>
          <w:szCs w:val="21"/>
        </w:rPr>
      </w:pPr>
      <w:r>
        <w:rPr>
          <w:rFonts w:hint="eastAsia" w:ascii="宋体" w:hAnsi="宋体" w:cs="宋体"/>
          <w:spacing w:val="4"/>
          <w:szCs w:val="21"/>
        </w:rPr>
        <w:t>投标文件</w:t>
      </w:r>
    </w:p>
    <w:p w14:paraId="3989CA93">
      <w:pPr>
        <w:numPr>
          <w:ilvl w:val="2"/>
          <w:numId w:val="3"/>
        </w:numPr>
        <w:overflowPunct w:val="0"/>
        <w:rPr>
          <w:rFonts w:hint="eastAsia" w:ascii="宋体" w:hAnsi="宋体" w:cs="宋体"/>
          <w:spacing w:val="4"/>
          <w:szCs w:val="21"/>
        </w:rPr>
      </w:pPr>
      <w:r>
        <w:rPr>
          <w:rFonts w:hint="eastAsia" w:ascii="宋体" w:hAnsi="宋体" w:cs="宋体"/>
          <w:spacing w:val="4"/>
          <w:szCs w:val="21"/>
        </w:rPr>
        <w:t>投标文件的组成：投标文件由下列文件及附件组成。</w:t>
      </w:r>
    </w:p>
    <w:p w14:paraId="762D2FE8">
      <w:pPr>
        <w:numPr>
          <w:ilvl w:val="3"/>
          <w:numId w:val="3"/>
        </w:numPr>
        <w:overflowPunct w:val="0"/>
        <w:rPr>
          <w:rFonts w:hint="eastAsia" w:ascii="宋体" w:hAnsi="宋体" w:cs="宋体"/>
          <w:spacing w:val="4"/>
          <w:szCs w:val="21"/>
        </w:rPr>
      </w:pPr>
      <w:r>
        <w:rPr>
          <w:rFonts w:hint="eastAsia" w:ascii="宋体" w:hAnsi="宋体" w:cs="宋体"/>
          <w:spacing w:val="4"/>
          <w:szCs w:val="21"/>
        </w:rPr>
        <w:t>投标资格文件</w:t>
      </w:r>
    </w:p>
    <w:p w14:paraId="3E93D490">
      <w:pPr>
        <w:numPr>
          <w:ilvl w:val="0"/>
          <w:numId w:val="4"/>
        </w:numPr>
        <w:tabs>
          <w:tab w:val="left" w:pos="1260"/>
          <w:tab w:val="clear" w:pos="720"/>
        </w:tabs>
        <w:overflowPunct w:val="0"/>
        <w:ind w:left="1260" w:firstLine="0"/>
        <w:rPr>
          <w:rFonts w:hint="eastAsia" w:ascii="宋体" w:hAnsi="宋体" w:cs="宋体"/>
          <w:spacing w:val="4"/>
        </w:rPr>
      </w:pPr>
      <w:r>
        <w:rPr>
          <w:rFonts w:hint="eastAsia" w:ascii="宋体" w:hAnsi="宋体" w:cs="宋体"/>
          <w:spacing w:val="4"/>
        </w:rPr>
        <w:t>投标方承诺函</w:t>
      </w:r>
    </w:p>
    <w:p w14:paraId="484E66C3">
      <w:pPr>
        <w:numPr>
          <w:ilvl w:val="0"/>
          <w:numId w:val="4"/>
        </w:numPr>
        <w:tabs>
          <w:tab w:val="left" w:pos="1260"/>
          <w:tab w:val="clear" w:pos="720"/>
        </w:tabs>
        <w:overflowPunct w:val="0"/>
        <w:ind w:left="1260" w:firstLine="0"/>
        <w:rPr>
          <w:rFonts w:hint="eastAsia" w:ascii="宋体" w:hAnsi="宋体" w:cs="宋体"/>
          <w:spacing w:val="4"/>
        </w:rPr>
      </w:pPr>
      <w:r>
        <w:rPr>
          <w:rFonts w:hint="eastAsia" w:ascii="宋体" w:hAnsi="宋体" w:cs="宋体"/>
          <w:spacing w:val="4"/>
        </w:rPr>
        <w:t xml:space="preserve">企业法人营业执照（复印件） </w:t>
      </w:r>
    </w:p>
    <w:p w14:paraId="02C92780">
      <w:pPr>
        <w:numPr>
          <w:ilvl w:val="0"/>
          <w:numId w:val="4"/>
        </w:numPr>
        <w:tabs>
          <w:tab w:val="left" w:pos="1260"/>
          <w:tab w:val="clear" w:pos="720"/>
        </w:tabs>
        <w:overflowPunct w:val="0"/>
        <w:ind w:left="1260" w:firstLine="0"/>
        <w:rPr>
          <w:rFonts w:hint="eastAsia" w:ascii="宋体" w:hAnsi="宋体" w:cs="宋体"/>
          <w:b/>
          <w:bCs/>
          <w:spacing w:val="4"/>
        </w:rPr>
      </w:pPr>
      <w:r>
        <w:rPr>
          <w:rFonts w:hint="eastAsia" w:ascii="宋体" w:hAnsi="宋体" w:cs="宋体"/>
          <w:b/>
          <w:bCs/>
          <w:spacing w:val="4"/>
        </w:rPr>
        <w:t>法人代表授权书</w:t>
      </w:r>
    </w:p>
    <w:p w14:paraId="79FD191C">
      <w:pPr>
        <w:numPr>
          <w:ilvl w:val="0"/>
          <w:numId w:val="4"/>
        </w:numPr>
        <w:tabs>
          <w:tab w:val="left" w:pos="1260"/>
          <w:tab w:val="clear" w:pos="720"/>
        </w:tabs>
        <w:overflowPunct w:val="0"/>
        <w:ind w:left="1260" w:firstLine="0"/>
        <w:rPr>
          <w:rFonts w:hint="eastAsia" w:ascii="宋体" w:hAnsi="宋体" w:cs="宋体"/>
          <w:b/>
          <w:bCs/>
          <w:spacing w:val="4"/>
        </w:rPr>
      </w:pPr>
      <w:r>
        <w:rPr>
          <w:rFonts w:hint="eastAsia" w:ascii="宋体" w:hAnsi="宋体" w:cs="宋体"/>
          <w:b/>
          <w:bCs/>
          <w:spacing w:val="4"/>
        </w:rPr>
        <w:t>★法人及被授权人的身份证复印件</w:t>
      </w:r>
    </w:p>
    <w:p w14:paraId="7DB94F8A">
      <w:pPr>
        <w:numPr>
          <w:ilvl w:val="0"/>
          <w:numId w:val="4"/>
        </w:numPr>
        <w:tabs>
          <w:tab w:val="left" w:pos="1260"/>
          <w:tab w:val="clear" w:pos="720"/>
        </w:tabs>
        <w:overflowPunct w:val="0"/>
        <w:ind w:left="1260" w:firstLine="0"/>
        <w:rPr>
          <w:rFonts w:hint="eastAsia" w:ascii="宋体" w:hAnsi="宋体" w:cs="宋体"/>
          <w:spacing w:val="4"/>
        </w:rPr>
      </w:pPr>
      <w:r>
        <w:rPr>
          <w:rFonts w:hint="eastAsia" w:ascii="宋体" w:hAnsi="宋体" w:cs="宋体"/>
          <w:spacing w:val="4"/>
        </w:rPr>
        <w:t>保证金银行回单</w:t>
      </w:r>
    </w:p>
    <w:p w14:paraId="492D6887">
      <w:pPr>
        <w:numPr>
          <w:ilvl w:val="0"/>
          <w:numId w:val="4"/>
        </w:numPr>
        <w:tabs>
          <w:tab w:val="left" w:pos="1260"/>
          <w:tab w:val="clear" w:pos="720"/>
        </w:tabs>
        <w:overflowPunct w:val="0"/>
        <w:ind w:left="1260" w:firstLine="0"/>
        <w:rPr>
          <w:rFonts w:hint="eastAsia" w:ascii="宋体" w:hAnsi="宋体" w:cs="宋体"/>
          <w:spacing w:val="4"/>
        </w:rPr>
      </w:pPr>
      <w:r>
        <w:rPr>
          <w:rFonts w:hint="eastAsia" w:ascii="宋体" w:hAnsi="宋体" w:cs="宋体"/>
          <w:spacing w:val="4"/>
        </w:rPr>
        <w:t>设备制造商的代理协议或授权书</w:t>
      </w:r>
    </w:p>
    <w:p w14:paraId="6E0FE592">
      <w:pPr>
        <w:numPr>
          <w:ilvl w:val="0"/>
          <w:numId w:val="4"/>
        </w:numPr>
        <w:tabs>
          <w:tab w:val="left" w:pos="1260"/>
          <w:tab w:val="clear" w:pos="720"/>
        </w:tabs>
        <w:overflowPunct w:val="0"/>
        <w:ind w:left="1260" w:firstLine="0"/>
        <w:rPr>
          <w:rFonts w:hint="eastAsia" w:ascii="宋体" w:hAnsi="宋体" w:cs="宋体"/>
          <w:spacing w:val="4"/>
        </w:rPr>
      </w:pPr>
      <w:r>
        <w:rPr>
          <w:rFonts w:hint="eastAsia" w:ascii="宋体" w:hAnsi="宋体" w:cs="宋体"/>
          <w:spacing w:val="4"/>
        </w:rPr>
        <w:t xml:space="preserve">代理商和设备制造商简介[包括组织机构、人员、生产能力、业绩（制造商须列表说明主要用户及设备型号、数量、使用年月；冰箱压缩机行业用户及设备型号、数量、使用年月单独列出）等]。 </w:t>
      </w:r>
    </w:p>
    <w:p w14:paraId="72E70CC5">
      <w:pPr>
        <w:numPr>
          <w:ilvl w:val="0"/>
          <w:numId w:val="4"/>
        </w:numPr>
        <w:tabs>
          <w:tab w:val="left" w:pos="1260"/>
          <w:tab w:val="clear" w:pos="720"/>
        </w:tabs>
        <w:overflowPunct w:val="0"/>
        <w:ind w:left="1260" w:firstLine="0"/>
        <w:rPr>
          <w:rFonts w:hint="eastAsia" w:ascii="宋体" w:hAnsi="宋体" w:cs="宋体"/>
          <w:spacing w:val="4"/>
        </w:rPr>
      </w:pPr>
      <w:r>
        <w:rPr>
          <w:rFonts w:hint="eastAsia" w:ascii="宋体" w:hAnsi="宋体" w:cs="宋体"/>
          <w:spacing w:val="4"/>
        </w:rPr>
        <w:t>设备制造商资信证明。</w:t>
      </w:r>
    </w:p>
    <w:p w14:paraId="24E1CFCA">
      <w:pPr>
        <w:numPr>
          <w:ilvl w:val="0"/>
          <w:numId w:val="4"/>
        </w:numPr>
        <w:tabs>
          <w:tab w:val="left" w:pos="1260"/>
          <w:tab w:val="clear" w:pos="720"/>
        </w:tabs>
        <w:overflowPunct w:val="0"/>
        <w:ind w:left="1260" w:firstLine="0"/>
        <w:rPr>
          <w:rFonts w:hint="eastAsia" w:ascii="宋体" w:hAnsi="宋体" w:cs="宋体"/>
          <w:spacing w:val="4"/>
          <w:szCs w:val="21"/>
        </w:rPr>
      </w:pPr>
      <w:r>
        <w:rPr>
          <w:rFonts w:hint="eastAsia" w:ascii="宋体" w:hAnsi="宋体" w:cs="宋体"/>
          <w:spacing w:val="4"/>
        </w:rPr>
        <w:t xml:space="preserve">其他文件和资料。 </w:t>
      </w:r>
    </w:p>
    <w:p w14:paraId="05ED335B">
      <w:pPr>
        <w:numPr>
          <w:ilvl w:val="3"/>
          <w:numId w:val="3"/>
        </w:numPr>
        <w:overflowPunct w:val="0"/>
        <w:rPr>
          <w:rFonts w:hint="eastAsia" w:ascii="宋体" w:hAnsi="宋体" w:cs="宋体"/>
          <w:spacing w:val="4"/>
          <w:szCs w:val="21"/>
        </w:rPr>
      </w:pPr>
      <w:r>
        <w:rPr>
          <w:rFonts w:hint="eastAsia" w:ascii="宋体" w:hAnsi="宋体" w:cs="宋体"/>
          <w:spacing w:val="4"/>
          <w:szCs w:val="21"/>
        </w:rPr>
        <w:t>合同条款：须对招标书相关条款做出响应。</w:t>
      </w:r>
    </w:p>
    <w:p w14:paraId="77D7DBA8">
      <w:pPr>
        <w:numPr>
          <w:ilvl w:val="3"/>
          <w:numId w:val="3"/>
        </w:numPr>
        <w:overflowPunct w:val="0"/>
        <w:rPr>
          <w:rFonts w:hint="eastAsia" w:ascii="宋体" w:hAnsi="宋体" w:cs="宋体"/>
          <w:szCs w:val="21"/>
        </w:rPr>
      </w:pPr>
      <w:r>
        <w:rPr>
          <w:rFonts w:hint="eastAsia" w:ascii="宋体" w:hAnsi="宋体" w:cs="宋体"/>
          <w:spacing w:val="4"/>
          <w:szCs w:val="21"/>
        </w:rPr>
        <w:t>技术规范：</w:t>
      </w:r>
      <w:r>
        <w:rPr>
          <w:rFonts w:hint="eastAsia" w:ascii="宋体" w:hAnsi="宋体" w:cs="宋体"/>
          <w:szCs w:val="21"/>
        </w:rPr>
        <w:t>投标人必须依据招标文件的要求，对投标的技术方案作出说明，包括设备结构、主要部件、控制系统、安全防护措施等方面的内容，该文件可以是文字资料、图纸和数据。</w:t>
      </w:r>
    </w:p>
    <w:p w14:paraId="2F12C5AD">
      <w:pPr>
        <w:numPr>
          <w:ilvl w:val="3"/>
          <w:numId w:val="3"/>
        </w:numPr>
        <w:overflowPunct w:val="0"/>
        <w:rPr>
          <w:rFonts w:hint="eastAsia" w:ascii="宋体" w:hAnsi="宋体" w:cs="宋体"/>
          <w:spacing w:val="4"/>
          <w:szCs w:val="21"/>
        </w:rPr>
      </w:pPr>
      <w:r>
        <w:rPr>
          <w:rFonts w:hint="eastAsia" w:ascii="宋体" w:hAnsi="宋体" w:cs="宋体"/>
          <w:spacing w:val="4"/>
          <w:szCs w:val="21"/>
        </w:rPr>
        <w:t>附件。</w:t>
      </w:r>
    </w:p>
    <w:p w14:paraId="7E364B3F">
      <w:pPr>
        <w:numPr>
          <w:ilvl w:val="0"/>
          <w:numId w:val="5"/>
        </w:numPr>
        <w:tabs>
          <w:tab w:val="left" w:pos="1260"/>
          <w:tab w:val="clear" w:pos="1098"/>
        </w:tabs>
        <w:overflowPunct w:val="0"/>
        <w:ind w:left="1256" w:leftChars="598" w:firstLine="4"/>
        <w:rPr>
          <w:rFonts w:hint="eastAsia" w:ascii="宋体" w:hAnsi="宋体" w:cs="宋体"/>
          <w:spacing w:val="4"/>
          <w:szCs w:val="21"/>
        </w:rPr>
      </w:pPr>
      <w:r>
        <w:rPr>
          <w:rFonts w:hint="eastAsia" w:ascii="宋体" w:hAnsi="宋体" w:cs="宋体"/>
          <w:spacing w:val="4"/>
          <w:szCs w:val="21"/>
        </w:rPr>
        <w:t>附表A 供货范围表</w:t>
      </w:r>
    </w:p>
    <w:p w14:paraId="03F1A215">
      <w:pPr>
        <w:numPr>
          <w:ilvl w:val="0"/>
          <w:numId w:val="5"/>
        </w:numPr>
        <w:tabs>
          <w:tab w:val="left" w:pos="1260"/>
          <w:tab w:val="clear" w:pos="1098"/>
        </w:tabs>
        <w:overflowPunct w:val="0"/>
        <w:ind w:left="1256" w:leftChars="598" w:firstLine="4"/>
        <w:rPr>
          <w:rFonts w:hint="eastAsia" w:ascii="宋体" w:hAnsi="宋体" w:cs="宋体"/>
          <w:spacing w:val="4"/>
          <w:szCs w:val="21"/>
        </w:rPr>
      </w:pPr>
      <w:r>
        <w:rPr>
          <w:rFonts w:hint="eastAsia" w:ascii="宋体" w:hAnsi="宋体" w:cs="宋体"/>
          <w:spacing w:val="4"/>
          <w:szCs w:val="21"/>
        </w:rPr>
        <w:t>附表B投标（商务）报价表</w:t>
      </w:r>
    </w:p>
    <w:p w14:paraId="67E3AC36">
      <w:pPr>
        <w:numPr>
          <w:ilvl w:val="0"/>
          <w:numId w:val="5"/>
        </w:numPr>
        <w:tabs>
          <w:tab w:val="left" w:pos="1260"/>
          <w:tab w:val="clear" w:pos="1098"/>
        </w:tabs>
        <w:overflowPunct w:val="0"/>
        <w:ind w:left="1256" w:leftChars="598" w:firstLine="4"/>
        <w:rPr>
          <w:rFonts w:hint="eastAsia" w:ascii="宋体" w:hAnsi="宋体" w:cs="宋体"/>
          <w:spacing w:val="4"/>
          <w:szCs w:val="21"/>
        </w:rPr>
      </w:pPr>
      <w:r>
        <w:rPr>
          <w:rFonts w:hint="eastAsia" w:ascii="宋体" w:hAnsi="宋体" w:cs="宋体"/>
          <w:spacing w:val="4"/>
          <w:szCs w:val="21"/>
        </w:rPr>
        <w:t xml:space="preserve">附表C差异表 </w:t>
      </w:r>
    </w:p>
    <w:p w14:paraId="24527061">
      <w:pPr>
        <w:numPr>
          <w:ilvl w:val="3"/>
          <w:numId w:val="3"/>
        </w:numPr>
        <w:overflowPunct w:val="0"/>
        <w:rPr>
          <w:rFonts w:hint="eastAsia" w:ascii="宋体" w:hAnsi="宋体" w:cs="宋体"/>
          <w:spacing w:val="4"/>
          <w:szCs w:val="21"/>
        </w:rPr>
      </w:pPr>
      <w:r>
        <w:rPr>
          <w:rFonts w:hint="eastAsia" w:ascii="宋体" w:hAnsi="宋体" w:cs="宋体"/>
          <w:spacing w:val="4"/>
          <w:szCs w:val="21"/>
        </w:rPr>
        <w:t>投标人所做的一切有效补充、修改文件，均被视为投标文件不可分割的部分。</w:t>
      </w:r>
    </w:p>
    <w:p w14:paraId="09AE0E23">
      <w:pPr>
        <w:numPr>
          <w:ilvl w:val="2"/>
          <w:numId w:val="3"/>
        </w:numPr>
        <w:overflowPunct w:val="0"/>
        <w:rPr>
          <w:rFonts w:hint="eastAsia" w:ascii="宋体" w:hAnsi="宋体" w:cs="宋体"/>
          <w:spacing w:val="4"/>
          <w:szCs w:val="21"/>
        </w:rPr>
      </w:pPr>
      <w:r>
        <w:rPr>
          <w:rFonts w:hint="eastAsia" w:ascii="宋体" w:hAnsi="宋体" w:cs="宋体"/>
          <w:spacing w:val="4"/>
          <w:szCs w:val="21"/>
        </w:rPr>
        <w:t xml:space="preserve"> 投标文件的编制。</w:t>
      </w:r>
    </w:p>
    <w:p w14:paraId="75610078">
      <w:pPr>
        <w:numPr>
          <w:ilvl w:val="3"/>
          <w:numId w:val="3"/>
        </w:numPr>
        <w:overflowPunct w:val="0"/>
        <w:rPr>
          <w:rFonts w:hint="eastAsia" w:ascii="宋体" w:hAnsi="宋体" w:cs="宋体"/>
          <w:spacing w:val="4"/>
          <w:szCs w:val="21"/>
        </w:rPr>
      </w:pPr>
      <w:r>
        <w:rPr>
          <w:rFonts w:hint="eastAsia" w:ascii="宋体" w:hAnsi="宋体" w:cs="宋体"/>
          <w:spacing w:val="4"/>
          <w:szCs w:val="21"/>
        </w:rPr>
        <w:t>一般要求：列出投标文件的详细清单；投标方应严格按照招标文件要求编制投标文件，投标文件对招标文件未提出异议的条款，均被视为接受和同意。投标文件与招标文件有差异之处，无论多么微小，均应在《差异表》中汇总说明，顺序和编号应与招标文件一致，并可以增加说明或描述性文字。</w:t>
      </w:r>
    </w:p>
    <w:p w14:paraId="255BFECC">
      <w:pPr>
        <w:numPr>
          <w:ilvl w:val="3"/>
          <w:numId w:val="3"/>
        </w:numPr>
        <w:overflowPunct w:val="0"/>
        <w:rPr>
          <w:rFonts w:hint="eastAsia" w:ascii="宋体" w:hAnsi="宋体" w:cs="宋体"/>
          <w:spacing w:val="4"/>
          <w:szCs w:val="21"/>
        </w:rPr>
      </w:pPr>
      <w:r>
        <w:rPr>
          <w:rFonts w:hint="eastAsia" w:ascii="宋体" w:hAnsi="宋体" w:cs="宋体"/>
          <w:spacing w:val="4"/>
          <w:szCs w:val="21"/>
        </w:rPr>
        <w:t>投标文件的语言：投标文件须用中文编写，若其中有其他语言的书面材料，则应附有中文译文；内容确认以中文译文为准。</w:t>
      </w:r>
    </w:p>
    <w:p w14:paraId="554A8DAF">
      <w:pPr>
        <w:numPr>
          <w:ilvl w:val="3"/>
          <w:numId w:val="3"/>
        </w:numPr>
        <w:overflowPunct w:val="0"/>
        <w:rPr>
          <w:rFonts w:hint="eastAsia" w:ascii="宋体" w:hAnsi="宋体" w:cs="宋体"/>
          <w:spacing w:val="4"/>
          <w:szCs w:val="21"/>
        </w:rPr>
      </w:pPr>
      <w:r>
        <w:rPr>
          <w:rFonts w:hint="eastAsia" w:ascii="宋体" w:hAnsi="宋体" w:cs="宋体"/>
          <w:spacing w:val="4"/>
          <w:szCs w:val="21"/>
        </w:rPr>
        <w:t>投标文件的份数和签署。</w:t>
      </w:r>
    </w:p>
    <w:p w14:paraId="282A478B">
      <w:pPr>
        <w:numPr>
          <w:ilvl w:val="0"/>
          <w:numId w:val="6"/>
        </w:numPr>
        <w:tabs>
          <w:tab w:val="left" w:pos="1260"/>
          <w:tab w:val="clear" w:pos="720"/>
        </w:tabs>
        <w:overflowPunct w:val="0"/>
        <w:ind w:left="1256" w:leftChars="598" w:firstLine="4"/>
        <w:rPr>
          <w:rFonts w:hint="eastAsia" w:ascii="宋体" w:hAnsi="宋体" w:cs="宋体"/>
          <w:spacing w:val="4"/>
          <w:szCs w:val="21"/>
        </w:rPr>
      </w:pPr>
      <w:r>
        <w:rPr>
          <w:rFonts w:hint="eastAsia" w:ascii="宋体" w:hAnsi="宋体" w:cs="宋体"/>
          <w:spacing w:val="4"/>
          <w:szCs w:val="21"/>
        </w:rPr>
        <w:t>投标文件分为商务标书和技术标书，商务标书和技术标书各一式三份（一正二副）。</w:t>
      </w:r>
    </w:p>
    <w:p w14:paraId="79077895">
      <w:pPr>
        <w:numPr>
          <w:ilvl w:val="0"/>
          <w:numId w:val="6"/>
        </w:numPr>
        <w:tabs>
          <w:tab w:val="left" w:pos="1260"/>
          <w:tab w:val="clear" w:pos="720"/>
        </w:tabs>
        <w:overflowPunct w:val="0"/>
        <w:ind w:left="1256" w:leftChars="598" w:firstLine="4"/>
        <w:rPr>
          <w:rFonts w:hint="eastAsia" w:ascii="宋体" w:hAnsi="宋体" w:cs="宋体"/>
          <w:spacing w:val="4"/>
          <w:szCs w:val="21"/>
        </w:rPr>
      </w:pPr>
      <w:r>
        <w:rPr>
          <w:rFonts w:hint="eastAsia" w:ascii="宋体" w:hAnsi="宋体" w:cs="宋体"/>
          <w:spacing w:val="4"/>
          <w:szCs w:val="21"/>
        </w:rPr>
        <w:t>投标文件正本的每一页均应由投标人授权代表签字。投标（商务）报价表均由投标人授权代表签名并加盖公章。</w:t>
      </w:r>
    </w:p>
    <w:p w14:paraId="2EA9EB35">
      <w:pPr>
        <w:numPr>
          <w:ilvl w:val="0"/>
          <w:numId w:val="6"/>
        </w:numPr>
        <w:tabs>
          <w:tab w:val="left" w:pos="1260"/>
          <w:tab w:val="clear" w:pos="720"/>
        </w:tabs>
        <w:overflowPunct w:val="0"/>
        <w:ind w:left="1256" w:leftChars="591" w:hanging="15" w:hangingChars="7"/>
        <w:rPr>
          <w:rFonts w:hint="eastAsia" w:ascii="宋体" w:hAnsi="宋体" w:cs="宋体"/>
          <w:b/>
          <w:bCs/>
          <w:spacing w:val="4"/>
          <w:szCs w:val="21"/>
        </w:rPr>
      </w:pPr>
      <w:r>
        <w:rPr>
          <w:rFonts w:hint="eastAsia" w:ascii="宋体" w:hAnsi="宋体" w:cs="宋体"/>
          <w:b/>
          <w:bCs/>
          <w:spacing w:val="4"/>
          <w:szCs w:val="21"/>
        </w:rPr>
        <w:t>提供投标文件资料备份U盘，U盘内容应当与书面资料一致，资料内容包括文字资料、数据资料、技术图纸等设备的所有资料 。</w:t>
      </w:r>
    </w:p>
    <w:p w14:paraId="47B12C7E">
      <w:pPr>
        <w:numPr>
          <w:ilvl w:val="3"/>
          <w:numId w:val="3"/>
        </w:numPr>
        <w:overflowPunct w:val="0"/>
        <w:rPr>
          <w:rFonts w:hint="eastAsia" w:ascii="宋体" w:hAnsi="宋体" w:cs="宋体"/>
          <w:spacing w:val="4"/>
          <w:szCs w:val="21"/>
        </w:rPr>
      </w:pPr>
      <w:r>
        <w:rPr>
          <w:rFonts w:hint="eastAsia" w:ascii="宋体" w:hAnsi="宋体" w:cs="宋体"/>
          <w:spacing w:val="4"/>
          <w:szCs w:val="21"/>
        </w:rPr>
        <w:t>投标（商务）报价。</w:t>
      </w:r>
    </w:p>
    <w:p w14:paraId="7304A840">
      <w:pPr>
        <w:numPr>
          <w:ilvl w:val="0"/>
          <w:numId w:val="7"/>
        </w:numPr>
        <w:tabs>
          <w:tab w:val="left" w:pos="1260"/>
          <w:tab w:val="clear" w:pos="720"/>
        </w:tabs>
        <w:overflowPunct w:val="0"/>
        <w:ind w:left="1256" w:leftChars="591" w:hanging="15" w:hangingChars="7"/>
        <w:rPr>
          <w:rFonts w:hint="eastAsia" w:ascii="宋体" w:hAnsi="宋体" w:cs="宋体"/>
          <w:spacing w:val="4"/>
          <w:szCs w:val="21"/>
        </w:rPr>
      </w:pPr>
      <w:r>
        <w:rPr>
          <w:rFonts w:hint="eastAsia" w:ascii="宋体" w:hAnsi="宋体" w:cs="宋体"/>
          <w:spacing w:val="4"/>
          <w:szCs w:val="21"/>
        </w:rPr>
        <w:t>投标人应认真填写投标（商务）报价表。</w:t>
      </w:r>
    </w:p>
    <w:p w14:paraId="14B78E39">
      <w:pPr>
        <w:numPr>
          <w:ilvl w:val="0"/>
          <w:numId w:val="7"/>
        </w:numPr>
        <w:tabs>
          <w:tab w:val="left" w:pos="1260"/>
          <w:tab w:val="clear" w:pos="720"/>
        </w:tabs>
        <w:overflowPunct w:val="0"/>
        <w:ind w:left="1256" w:leftChars="591" w:hanging="15" w:hangingChars="7"/>
        <w:rPr>
          <w:rFonts w:hint="eastAsia" w:ascii="宋体" w:hAnsi="宋体" w:cs="宋体"/>
          <w:spacing w:val="4"/>
          <w:szCs w:val="21"/>
        </w:rPr>
      </w:pPr>
      <w:r>
        <w:rPr>
          <w:rFonts w:hint="eastAsia" w:ascii="宋体" w:hAnsi="宋体" w:cs="宋体"/>
          <w:spacing w:val="4"/>
          <w:szCs w:val="21"/>
        </w:rPr>
        <w:t>若单价和总价有差异，则以单价为准，并对总价进行修正；若数字和文字表示的金额之间有差异，则以文字金额为准，并对数字做相应的修正。</w:t>
      </w:r>
    </w:p>
    <w:p w14:paraId="60D7D4A1">
      <w:pPr>
        <w:numPr>
          <w:ilvl w:val="0"/>
          <w:numId w:val="7"/>
        </w:numPr>
        <w:tabs>
          <w:tab w:val="left" w:pos="1260"/>
          <w:tab w:val="clear" w:pos="720"/>
        </w:tabs>
        <w:overflowPunct w:val="0"/>
        <w:ind w:left="1256" w:leftChars="591" w:hanging="15" w:hangingChars="7"/>
        <w:rPr>
          <w:rFonts w:hint="eastAsia" w:ascii="宋体" w:hAnsi="宋体" w:cs="宋体"/>
          <w:spacing w:val="4"/>
          <w:szCs w:val="21"/>
        </w:rPr>
      </w:pPr>
      <w:r>
        <w:rPr>
          <w:rFonts w:hint="eastAsia" w:ascii="宋体" w:hAnsi="宋体" w:cs="宋体"/>
          <w:spacing w:val="4"/>
          <w:szCs w:val="21"/>
        </w:rPr>
        <w:t>投标报价应注明有效期，有效期应与投标有效期相一致。</w:t>
      </w:r>
    </w:p>
    <w:p w14:paraId="53051FF8">
      <w:pPr>
        <w:numPr>
          <w:ilvl w:val="0"/>
          <w:numId w:val="7"/>
        </w:numPr>
        <w:tabs>
          <w:tab w:val="left" w:pos="1260"/>
          <w:tab w:val="clear" w:pos="720"/>
        </w:tabs>
        <w:overflowPunct w:val="0"/>
        <w:ind w:left="1256" w:leftChars="591" w:hanging="15" w:hangingChars="7"/>
        <w:rPr>
          <w:rFonts w:hint="eastAsia" w:ascii="宋体" w:hAnsi="宋体" w:cs="宋体"/>
          <w:spacing w:val="4"/>
          <w:szCs w:val="21"/>
          <w:u w:val="single"/>
        </w:rPr>
      </w:pPr>
      <w:r>
        <w:rPr>
          <w:rFonts w:hint="eastAsia" w:ascii="宋体" w:hAnsi="宋体" w:cs="宋体"/>
          <w:spacing w:val="4"/>
          <w:szCs w:val="21"/>
        </w:rPr>
        <w:t>分项列出下列价目：主机、附件、所有辅助设施、随机工装、备件价格、设计费、调试费、资料费、运杂费、培训费及验收费用等。</w:t>
      </w:r>
      <w:r>
        <w:rPr>
          <w:rFonts w:hint="eastAsia" w:ascii="宋体" w:hAnsi="宋体" w:cs="宋体"/>
          <w:spacing w:val="4"/>
          <w:szCs w:val="21"/>
          <w:u w:val="single"/>
        </w:rPr>
        <w:t>注：技术标书中主机、附件、所有辅助设施、随机工装、备件不得注明其价格。</w:t>
      </w:r>
    </w:p>
    <w:p w14:paraId="06A85420">
      <w:pPr>
        <w:numPr>
          <w:ilvl w:val="0"/>
          <w:numId w:val="7"/>
        </w:numPr>
        <w:tabs>
          <w:tab w:val="left" w:pos="1260"/>
          <w:tab w:val="clear" w:pos="720"/>
        </w:tabs>
        <w:overflowPunct w:val="0"/>
        <w:ind w:left="1256" w:leftChars="591" w:hanging="15" w:hangingChars="7"/>
        <w:rPr>
          <w:rFonts w:hint="eastAsia" w:ascii="宋体" w:hAnsi="宋体" w:cs="宋体"/>
          <w:spacing w:val="4"/>
          <w:szCs w:val="21"/>
        </w:rPr>
      </w:pPr>
      <w:r>
        <w:rPr>
          <w:rFonts w:hint="eastAsia" w:ascii="宋体" w:hAnsi="宋体" w:cs="宋体"/>
          <w:spacing w:val="4"/>
          <w:szCs w:val="21"/>
        </w:rPr>
        <w:t>报价单应明确写上：一切费用都包括在内的价格条款。</w:t>
      </w:r>
    </w:p>
    <w:p w14:paraId="02AFF9BD">
      <w:pPr>
        <w:numPr>
          <w:ilvl w:val="0"/>
          <w:numId w:val="7"/>
        </w:numPr>
        <w:tabs>
          <w:tab w:val="left" w:pos="1260"/>
          <w:tab w:val="clear" w:pos="720"/>
        </w:tabs>
        <w:overflowPunct w:val="0"/>
        <w:ind w:left="1256" w:leftChars="591" w:hanging="15" w:hangingChars="7"/>
        <w:rPr>
          <w:rFonts w:hint="eastAsia" w:ascii="宋体" w:hAnsi="宋体" w:cs="宋体"/>
          <w:spacing w:val="4"/>
          <w:szCs w:val="21"/>
        </w:rPr>
      </w:pPr>
      <w:r>
        <w:rPr>
          <w:rFonts w:hint="eastAsia" w:ascii="宋体" w:hAnsi="宋体" w:cs="宋体"/>
          <w:spacing w:val="4"/>
          <w:szCs w:val="21"/>
        </w:rPr>
        <w:t>提供售后服务收费标准。</w:t>
      </w:r>
    </w:p>
    <w:p w14:paraId="340C7E49">
      <w:pPr>
        <w:numPr>
          <w:ilvl w:val="1"/>
          <w:numId w:val="3"/>
        </w:numPr>
        <w:overflowPunct w:val="0"/>
        <w:rPr>
          <w:rFonts w:hint="eastAsia" w:ascii="宋体" w:hAnsi="宋体" w:cs="宋体"/>
          <w:spacing w:val="4"/>
          <w:szCs w:val="21"/>
        </w:rPr>
      </w:pPr>
      <w:r>
        <w:rPr>
          <w:rFonts w:hint="eastAsia" w:ascii="宋体" w:hAnsi="宋体" w:cs="宋体"/>
          <w:spacing w:val="4"/>
          <w:szCs w:val="21"/>
        </w:rPr>
        <w:t>标前会</w:t>
      </w:r>
    </w:p>
    <w:p w14:paraId="5E5579F5">
      <w:pPr>
        <w:numPr>
          <w:ilvl w:val="2"/>
          <w:numId w:val="3"/>
        </w:numPr>
        <w:overflowPunct w:val="0"/>
        <w:rPr>
          <w:rFonts w:hint="eastAsia" w:ascii="宋体" w:hAnsi="宋体" w:cs="宋体"/>
          <w:spacing w:val="4"/>
          <w:szCs w:val="21"/>
        </w:rPr>
      </w:pPr>
      <w:r>
        <w:rPr>
          <w:rFonts w:hint="eastAsia" w:ascii="宋体" w:hAnsi="宋体" w:cs="宋体"/>
          <w:spacing w:val="4"/>
          <w:szCs w:val="21"/>
        </w:rPr>
        <w:t>如各投标人提出的问题较多，则可召开标前会，一般在投标截止日期7天前完成。投标人需解释和澄清的问题应在招标文件发出后5天之内提出。</w:t>
      </w:r>
    </w:p>
    <w:p w14:paraId="103488C5">
      <w:pPr>
        <w:numPr>
          <w:ilvl w:val="1"/>
          <w:numId w:val="3"/>
        </w:numPr>
        <w:overflowPunct w:val="0"/>
        <w:rPr>
          <w:rFonts w:hint="eastAsia" w:ascii="宋体" w:hAnsi="宋体" w:cs="宋体"/>
          <w:spacing w:val="4"/>
          <w:szCs w:val="21"/>
        </w:rPr>
      </w:pPr>
      <w:r>
        <w:rPr>
          <w:rFonts w:hint="eastAsia" w:ascii="宋体" w:hAnsi="宋体" w:cs="宋体"/>
          <w:spacing w:val="4"/>
          <w:szCs w:val="21"/>
        </w:rPr>
        <w:t>投标文件的投递</w:t>
      </w:r>
    </w:p>
    <w:p w14:paraId="4A6F9C19">
      <w:pPr>
        <w:numPr>
          <w:ilvl w:val="2"/>
          <w:numId w:val="3"/>
        </w:numPr>
        <w:overflowPunct w:val="0"/>
        <w:rPr>
          <w:rFonts w:hint="eastAsia" w:ascii="宋体" w:hAnsi="宋体" w:cs="宋体"/>
          <w:spacing w:val="4"/>
          <w:szCs w:val="21"/>
        </w:rPr>
      </w:pPr>
      <w:r>
        <w:rPr>
          <w:rFonts w:hint="eastAsia" w:ascii="宋体" w:hAnsi="宋体" w:cs="宋体"/>
          <w:spacing w:val="4"/>
          <w:szCs w:val="21"/>
        </w:rPr>
        <w:t>投标文件的密封与标记：投标文件应用信封密封。商务标书和技术标书分别密封，信封上注明项目名称、商务标书/技术标书、投标人名址、“几正几副”字样及“不准提前启封”字样。信封上应加盖投标人公章。</w:t>
      </w:r>
    </w:p>
    <w:p w14:paraId="36C43D34">
      <w:pPr>
        <w:numPr>
          <w:ilvl w:val="1"/>
          <w:numId w:val="3"/>
        </w:numPr>
        <w:overflowPunct w:val="0"/>
        <w:rPr>
          <w:rFonts w:hint="eastAsia" w:ascii="宋体" w:hAnsi="宋体" w:cs="宋体"/>
          <w:spacing w:val="4"/>
          <w:szCs w:val="21"/>
        </w:rPr>
      </w:pPr>
      <w:r>
        <w:rPr>
          <w:rFonts w:hint="eastAsia" w:ascii="宋体" w:hAnsi="宋体" w:cs="宋体"/>
          <w:spacing w:val="4"/>
          <w:szCs w:val="21"/>
        </w:rPr>
        <w:t>投标文件的补充、修改：投标截止日期前，投标人可以以书面形式向招标人对已递交的投标文件提出补充或修改，相应部分以最后的补充和修改为准。该书面材料应密封，由投标人代表签字并加盖公章。</w:t>
      </w:r>
    </w:p>
    <w:p w14:paraId="216CD0BB">
      <w:pPr>
        <w:numPr>
          <w:ilvl w:val="1"/>
          <w:numId w:val="3"/>
        </w:numPr>
        <w:overflowPunct w:val="0"/>
        <w:rPr>
          <w:rFonts w:hint="eastAsia" w:ascii="宋体" w:hAnsi="宋体" w:cs="宋体"/>
          <w:spacing w:val="4"/>
          <w:szCs w:val="21"/>
        </w:rPr>
      </w:pPr>
      <w:r>
        <w:rPr>
          <w:rFonts w:hint="eastAsia" w:ascii="宋体" w:hAnsi="宋体" w:cs="宋体"/>
          <w:spacing w:val="4"/>
          <w:szCs w:val="21"/>
        </w:rPr>
        <w:t>投标有效期：投标有效期为投标截止日期后90天。若遇特殊情况，招标人可于投标有效期之前要求投标人同意延长有效期，但延长期一般不超过3个月。投标人应以书面答复表示同意，此时投标人不能对投标文件进行任何修改；投标人若不同意延长投标有效期，则应以书面形式给予明确答复。</w:t>
      </w:r>
    </w:p>
    <w:p w14:paraId="66904B6E">
      <w:pPr>
        <w:numPr>
          <w:ilvl w:val="1"/>
          <w:numId w:val="3"/>
        </w:numPr>
        <w:overflowPunct w:val="0"/>
        <w:rPr>
          <w:rFonts w:hint="eastAsia" w:ascii="宋体" w:hAnsi="宋体" w:cs="宋体"/>
          <w:spacing w:val="4"/>
          <w:szCs w:val="21"/>
        </w:rPr>
      </w:pPr>
      <w:r>
        <w:rPr>
          <w:rFonts w:hint="eastAsia" w:ascii="宋体" w:hAnsi="宋体" w:cs="宋体"/>
          <w:spacing w:val="4"/>
          <w:szCs w:val="21"/>
        </w:rPr>
        <w:t>无效投标</w:t>
      </w:r>
    </w:p>
    <w:p w14:paraId="48AAAF53">
      <w:pPr>
        <w:numPr>
          <w:ilvl w:val="2"/>
          <w:numId w:val="3"/>
        </w:numPr>
        <w:overflowPunct w:val="0"/>
        <w:rPr>
          <w:rFonts w:hint="eastAsia" w:ascii="宋体" w:hAnsi="宋体" w:cs="宋体"/>
          <w:spacing w:val="4"/>
          <w:szCs w:val="21"/>
        </w:rPr>
      </w:pPr>
      <w:r>
        <w:rPr>
          <w:rFonts w:hint="eastAsia" w:ascii="宋体" w:hAnsi="宋体" w:cs="宋体"/>
          <w:spacing w:val="4"/>
          <w:szCs w:val="21"/>
        </w:rPr>
        <w:t>发生下列情况之一者，视为无效投标。</w:t>
      </w:r>
    </w:p>
    <w:p w14:paraId="5714E05D">
      <w:pPr>
        <w:numPr>
          <w:ilvl w:val="3"/>
          <w:numId w:val="3"/>
        </w:numPr>
        <w:overflowPunct w:val="0"/>
        <w:rPr>
          <w:rFonts w:hint="eastAsia" w:ascii="宋体" w:hAnsi="宋体" w:cs="宋体"/>
          <w:spacing w:val="4"/>
          <w:szCs w:val="21"/>
        </w:rPr>
      </w:pPr>
      <w:r>
        <w:rPr>
          <w:rFonts w:hint="eastAsia" w:ascii="宋体" w:hAnsi="宋体" w:cs="宋体"/>
          <w:spacing w:val="4"/>
          <w:szCs w:val="21"/>
        </w:rPr>
        <w:t>投标文件未密封或投标文件未按规定加盖公章和签字。</w:t>
      </w:r>
    </w:p>
    <w:p w14:paraId="56F02820">
      <w:pPr>
        <w:numPr>
          <w:ilvl w:val="3"/>
          <w:numId w:val="3"/>
        </w:numPr>
        <w:overflowPunct w:val="0"/>
        <w:rPr>
          <w:rFonts w:hint="eastAsia" w:ascii="宋体" w:hAnsi="宋体" w:cs="宋体"/>
          <w:spacing w:val="4"/>
          <w:szCs w:val="21"/>
        </w:rPr>
      </w:pPr>
      <w:r>
        <w:rPr>
          <w:rFonts w:hint="eastAsia" w:ascii="宋体" w:hAnsi="宋体" w:cs="宋体"/>
          <w:spacing w:val="4"/>
          <w:szCs w:val="21"/>
        </w:rPr>
        <w:t>投标文件未按规定格式、内容填写或投标文件内容与招标文件有严重背离。</w:t>
      </w:r>
    </w:p>
    <w:p w14:paraId="56403362">
      <w:pPr>
        <w:numPr>
          <w:ilvl w:val="3"/>
          <w:numId w:val="3"/>
        </w:numPr>
        <w:overflowPunct w:val="0"/>
        <w:rPr>
          <w:rFonts w:hint="eastAsia" w:ascii="宋体" w:hAnsi="宋体" w:cs="宋体"/>
          <w:spacing w:val="4"/>
          <w:szCs w:val="21"/>
        </w:rPr>
      </w:pPr>
      <w:r>
        <w:rPr>
          <w:rFonts w:hint="eastAsia" w:ascii="宋体" w:hAnsi="宋体" w:cs="宋体"/>
          <w:spacing w:val="4"/>
          <w:szCs w:val="21"/>
        </w:rPr>
        <w:t>在投标文件中有两个以上的报价，且未明确哪个报价有效。</w:t>
      </w:r>
    </w:p>
    <w:p w14:paraId="780015AF">
      <w:pPr>
        <w:numPr>
          <w:ilvl w:val="3"/>
          <w:numId w:val="3"/>
        </w:numPr>
        <w:overflowPunct w:val="0"/>
        <w:rPr>
          <w:rFonts w:hint="eastAsia" w:ascii="宋体" w:hAnsi="宋体" w:cs="宋体"/>
          <w:spacing w:val="4"/>
          <w:szCs w:val="21"/>
        </w:rPr>
      </w:pPr>
      <w:r>
        <w:rPr>
          <w:rFonts w:hint="eastAsia" w:ascii="宋体" w:hAnsi="宋体" w:cs="宋体"/>
          <w:spacing w:val="4"/>
          <w:szCs w:val="21"/>
        </w:rPr>
        <w:t>其他不符合招标文件要求的投标。</w:t>
      </w:r>
    </w:p>
    <w:p w14:paraId="364CC7AC">
      <w:pPr>
        <w:numPr>
          <w:ilvl w:val="1"/>
          <w:numId w:val="3"/>
        </w:numPr>
        <w:overflowPunct w:val="0"/>
        <w:rPr>
          <w:rFonts w:hint="eastAsia" w:ascii="宋体" w:hAnsi="宋体" w:cs="宋体"/>
          <w:spacing w:val="4"/>
          <w:szCs w:val="21"/>
        </w:rPr>
      </w:pPr>
      <w:r>
        <w:rPr>
          <w:rFonts w:hint="eastAsia" w:ascii="宋体" w:hAnsi="宋体" w:cs="宋体"/>
          <w:spacing w:val="4"/>
          <w:szCs w:val="21"/>
        </w:rPr>
        <w:t>开标和评标</w:t>
      </w:r>
    </w:p>
    <w:p w14:paraId="3A94D6F2">
      <w:pPr>
        <w:numPr>
          <w:ilvl w:val="2"/>
          <w:numId w:val="3"/>
        </w:numPr>
        <w:overflowPunct w:val="0"/>
        <w:rPr>
          <w:rFonts w:hint="eastAsia" w:ascii="宋体" w:hAnsi="宋体" w:cs="宋体"/>
          <w:spacing w:val="4"/>
          <w:szCs w:val="21"/>
        </w:rPr>
      </w:pPr>
      <w:r>
        <w:rPr>
          <w:rFonts w:hint="eastAsia" w:ascii="宋体" w:hAnsi="宋体" w:cs="宋体"/>
          <w:spacing w:val="4"/>
          <w:szCs w:val="21"/>
        </w:rPr>
        <w:t>开标在招标人规定的时间和地点进行。开标时，检查投标文件密封情况，确认无误后拆封；评标采用副本，正本备查，内容以正本为准。</w:t>
      </w:r>
    </w:p>
    <w:p w14:paraId="7B06C3FF">
      <w:pPr>
        <w:numPr>
          <w:ilvl w:val="2"/>
          <w:numId w:val="3"/>
        </w:numPr>
        <w:overflowPunct w:val="0"/>
        <w:rPr>
          <w:rFonts w:hint="eastAsia" w:ascii="宋体" w:hAnsi="宋体" w:cs="宋体"/>
          <w:spacing w:val="4"/>
          <w:szCs w:val="21"/>
        </w:rPr>
      </w:pPr>
      <w:r>
        <w:rPr>
          <w:rFonts w:hint="eastAsia" w:ascii="宋体" w:hAnsi="宋体" w:cs="宋体"/>
          <w:spacing w:val="4"/>
          <w:szCs w:val="21"/>
        </w:rPr>
        <w:t>招标人将组织审查投标文件是否完整，是否有计算错误，文件是否恰当地签署。</w:t>
      </w:r>
    </w:p>
    <w:p w14:paraId="4D9A15C8">
      <w:pPr>
        <w:numPr>
          <w:ilvl w:val="2"/>
          <w:numId w:val="3"/>
        </w:numPr>
        <w:overflowPunct w:val="0"/>
        <w:rPr>
          <w:rFonts w:hint="eastAsia" w:ascii="宋体" w:hAnsi="宋体" w:cs="宋体"/>
          <w:spacing w:val="4"/>
          <w:szCs w:val="21"/>
        </w:rPr>
      </w:pPr>
      <w:r>
        <w:rPr>
          <w:rFonts w:hint="eastAsia" w:ascii="宋体" w:hAnsi="宋体" w:cs="宋体"/>
          <w:spacing w:val="4"/>
          <w:szCs w:val="21"/>
        </w:rPr>
        <w:t xml:space="preserve">招标人将确定每一投标是否对招标文件的要求做出了实质性的响应而没有重大偏离。实质性响应的投标是指投标文件符合招标文件的所有条款、条件和规定且没有重大偏离或保留。 </w:t>
      </w:r>
    </w:p>
    <w:p w14:paraId="2B427525">
      <w:pPr>
        <w:numPr>
          <w:ilvl w:val="2"/>
          <w:numId w:val="3"/>
        </w:numPr>
        <w:overflowPunct w:val="0"/>
        <w:rPr>
          <w:rFonts w:hint="eastAsia" w:ascii="宋体" w:hAnsi="宋体" w:cs="宋体"/>
          <w:spacing w:val="4"/>
          <w:szCs w:val="21"/>
        </w:rPr>
      </w:pPr>
      <w:r>
        <w:rPr>
          <w:rFonts w:hint="eastAsia" w:ascii="宋体" w:hAnsi="宋体" w:cs="宋体"/>
          <w:spacing w:val="4"/>
          <w:szCs w:val="21"/>
        </w:rPr>
        <w:t>招标人判断投标文件的响应性仅基于投标文件本身而不依靠外部证据。</w:t>
      </w:r>
    </w:p>
    <w:p w14:paraId="2F94DDF7">
      <w:pPr>
        <w:numPr>
          <w:ilvl w:val="2"/>
          <w:numId w:val="3"/>
        </w:numPr>
        <w:overflowPunct w:val="0"/>
        <w:rPr>
          <w:rFonts w:hint="eastAsia" w:ascii="宋体" w:hAnsi="宋体" w:cs="宋体"/>
          <w:spacing w:val="4"/>
          <w:szCs w:val="21"/>
        </w:rPr>
      </w:pPr>
      <w:r>
        <w:rPr>
          <w:rFonts w:hint="eastAsia" w:ascii="宋体" w:hAnsi="宋体" w:cs="宋体"/>
          <w:spacing w:val="4"/>
          <w:szCs w:val="21"/>
        </w:rPr>
        <w:t>为了有助于对投标文件进行审查、评估和比较，招标人有权向投标方质询，请投标人澄清其投标内容。评标期间，希望投标人按照招标人通知的时间、地点指派专人进行答疑和澄清。</w:t>
      </w:r>
    </w:p>
    <w:p w14:paraId="7D14182E">
      <w:pPr>
        <w:numPr>
          <w:ilvl w:val="2"/>
          <w:numId w:val="3"/>
        </w:numPr>
        <w:overflowPunct w:val="0"/>
        <w:rPr>
          <w:rFonts w:hint="eastAsia" w:ascii="宋体" w:hAnsi="宋体" w:cs="宋体"/>
          <w:spacing w:val="4"/>
          <w:szCs w:val="21"/>
        </w:rPr>
      </w:pPr>
      <w:r>
        <w:rPr>
          <w:rFonts w:hint="eastAsia" w:ascii="宋体" w:hAnsi="宋体" w:cs="宋体"/>
          <w:spacing w:val="4"/>
          <w:szCs w:val="21"/>
        </w:rPr>
        <w:t>招标人将允许修改投标书中不构成重大偏离的微小的、非正规、不一致或不规则的地方。</w:t>
      </w:r>
    </w:p>
    <w:p w14:paraId="06F0998C">
      <w:pPr>
        <w:numPr>
          <w:ilvl w:val="2"/>
          <w:numId w:val="3"/>
        </w:numPr>
        <w:overflowPunct w:val="0"/>
        <w:rPr>
          <w:rFonts w:hint="eastAsia" w:ascii="宋体" w:hAnsi="宋体" w:cs="宋体"/>
          <w:spacing w:val="4"/>
          <w:szCs w:val="21"/>
        </w:rPr>
      </w:pPr>
      <w:r>
        <w:rPr>
          <w:rFonts w:hint="eastAsia" w:ascii="宋体" w:hAnsi="宋体" w:cs="宋体"/>
          <w:spacing w:val="4"/>
          <w:szCs w:val="21"/>
        </w:rPr>
        <w:t>重要澄清的答复应是书面的。</w:t>
      </w:r>
    </w:p>
    <w:p w14:paraId="573F34A6">
      <w:pPr>
        <w:numPr>
          <w:ilvl w:val="2"/>
          <w:numId w:val="3"/>
        </w:numPr>
        <w:overflowPunct w:val="0"/>
        <w:rPr>
          <w:rFonts w:hint="eastAsia" w:ascii="宋体" w:hAnsi="宋体" w:cs="宋体"/>
          <w:spacing w:val="4"/>
          <w:szCs w:val="21"/>
        </w:rPr>
      </w:pPr>
      <w:r>
        <w:rPr>
          <w:rFonts w:hint="eastAsia" w:ascii="宋体" w:hAnsi="宋体" w:cs="宋体"/>
          <w:spacing w:val="4"/>
          <w:szCs w:val="21"/>
        </w:rPr>
        <w:t>评标的依据为招标文件和投标文件，评标时还对投标人提供设备的技术性能、交货期限、售后服务、资信情况、对招标文件的响应情况、履约能力等进行综合分析考评。</w:t>
      </w:r>
    </w:p>
    <w:p w14:paraId="2ED3A543">
      <w:pPr>
        <w:numPr>
          <w:ilvl w:val="2"/>
          <w:numId w:val="3"/>
        </w:numPr>
        <w:overflowPunct w:val="0"/>
        <w:rPr>
          <w:rFonts w:hint="eastAsia" w:ascii="宋体" w:hAnsi="宋体" w:cs="宋体"/>
          <w:spacing w:val="4"/>
          <w:szCs w:val="21"/>
        </w:rPr>
      </w:pPr>
      <w:r>
        <w:rPr>
          <w:rFonts w:hint="eastAsia" w:ascii="宋体" w:hAnsi="宋体" w:cs="宋体"/>
          <w:spacing w:val="4"/>
          <w:szCs w:val="21"/>
        </w:rPr>
        <w:t>对所有投标人的投标评估，都采用相同的程序和标准。</w:t>
      </w:r>
    </w:p>
    <w:p w14:paraId="0877D6D5">
      <w:pPr>
        <w:numPr>
          <w:ilvl w:val="2"/>
          <w:numId w:val="3"/>
        </w:numPr>
        <w:overflowPunct w:val="0"/>
        <w:rPr>
          <w:rFonts w:hint="eastAsia" w:ascii="宋体" w:hAnsi="宋体" w:cs="宋体"/>
          <w:spacing w:val="4"/>
          <w:szCs w:val="21"/>
        </w:rPr>
      </w:pPr>
      <w:r>
        <w:rPr>
          <w:rFonts w:hint="eastAsia" w:ascii="宋体" w:hAnsi="宋体" w:cs="宋体"/>
          <w:spacing w:val="4"/>
          <w:szCs w:val="21"/>
        </w:rPr>
        <w:t>投标人在评标过程中，所进行的企图影响评标结果的不符合招标规定的活动，可能导致其被取消中标资格。</w:t>
      </w:r>
    </w:p>
    <w:p w14:paraId="78795489">
      <w:pPr>
        <w:numPr>
          <w:ilvl w:val="1"/>
          <w:numId w:val="3"/>
        </w:numPr>
        <w:overflowPunct w:val="0"/>
        <w:rPr>
          <w:rFonts w:hint="eastAsia" w:ascii="宋体" w:hAnsi="宋体" w:cs="宋体"/>
          <w:spacing w:val="4"/>
          <w:szCs w:val="21"/>
        </w:rPr>
      </w:pPr>
      <w:r>
        <w:rPr>
          <w:rFonts w:hint="eastAsia" w:ascii="宋体" w:hAnsi="宋体" w:cs="宋体"/>
          <w:spacing w:val="4"/>
          <w:szCs w:val="21"/>
        </w:rPr>
        <w:t>合同签署</w:t>
      </w:r>
    </w:p>
    <w:p w14:paraId="61ACFD95">
      <w:pPr>
        <w:numPr>
          <w:ilvl w:val="2"/>
          <w:numId w:val="3"/>
        </w:numPr>
        <w:overflowPunct w:val="0"/>
        <w:rPr>
          <w:rFonts w:hint="eastAsia" w:ascii="宋体" w:hAnsi="宋体" w:cs="宋体"/>
          <w:spacing w:val="4"/>
          <w:szCs w:val="21"/>
        </w:rPr>
      </w:pPr>
      <w:r>
        <w:rPr>
          <w:rFonts w:hint="eastAsia" w:ascii="宋体" w:hAnsi="宋体" w:cs="宋体"/>
          <w:spacing w:val="4"/>
          <w:szCs w:val="21"/>
        </w:rPr>
        <w:t>招标文件、中标人的投标文件及澄清文件均为签订合同协议书的主要依据。</w:t>
      </w:r>
    </w:p>
    <w:p w14:paraId="44893A09">
      <w:pPr>
        <w:numPr>
          <w:ilvl w:val="2"/>
          <w:numId w:val="3"/>
        </w:numPr>
        <w:overflowPunct w:val="0"/>
        <w:rPr>
          <w:rFonts w:hint="eastAsia" w:ascii="宋体" w:hAnsi="宋体" w:cs="宋体"/>
          <w:b/>
          <w:bCs/>
          <w:spacing w:val="4"/>
          <w:szCs w:val="21"/>
        </w:rPr>
      </w:pPr>
      <w:r>
        <w:rPr>
          <w:rFonts w:hint="eastAsia" w:ascii="宋体" w:hAnsi="宋体" w:cs="宋体"/>
          <w:b/>
          <w:bCs/>
          <w:spacing w:val="4"/>
          <w:szCs w:val="21"/>
        </w:rPr>
        <w:t>合同签订时，甲方签约单位名称为：加西贝拉压缩机有限公司。</w:t>
      </w:r>
    </w:p>
    <w:p w14:paraId="5F843D3D">
      <w:pPr>
        <w:numPr>
          <w:ilvl w:val="2"/>
          <w:numId w:val="3"/>
        </w:numPr>
        <w:overflowPunct w:val="0"/>
        <w:rPr>
          <w:rFonts w:hint="eastAsia" w:ascii="宋体" w:hAnsi="宋体" w:cs="宋体"/>
          <w:spacing w:val="4"/>
          <w:szCs w:val="21"/>
        </w:rPr>
      </w:pPr>
      <w:r>
        <w:rPr>
          <w:rFonts w:hint="eastAsia" w:ascii="宋体" w:hAnsi="宋体" w:cs="宋体"/>
          <w:spacing w:val="4"/>
          <w:szCs w:val="21"/>
        </w:rPr>
        <w:t>合同签订时，乙方必须为中标设备的制造商。</w:t>
      </w:r>
    </w:p>
    <w:p w14:paraId="6F2E426C">
      <w:pPr>
        <w:numPr>
          <w:ilvl w:val="2"/>
          <w:numId w:val="3"/>
        </w:numPr>
        <w:overflowPunct w:val="0"/>
        <w:rPr>
          <w:rFonts w:hint="eastAsia" w:ascii="宋体" w:hAnsi="宋体" w:cs="宋体"/>
          <w:spacing w:val="4"/>
          <w:szCs w:val="21"/>
        </w:rPr>
      </w:pPr>
      <w:r>
        <w:rPr>
          <w:rFonts w:hint="eastAsia" w:ascii="宋体" w:hAnsi="宋体" w:cs="宋体"/>
          <w:spacing w:val="4"/>
          <w:szCs w:val="21"/>
        </w:rPr>
        <w:t>合同最终台套数和价格于合同签署时确定。</w:t>
      </w:r>
    </w:p>
    <w:p w14:paraId="5CB70D56">
      <w:pPr>
        <w:numPr>
          <w:ilvl w:val="2"/>
          <w:numId w:val="3"/>
        </w:numPr>
        <w:overflowPunct w:val="0"/>
        <w:rPr>
          <w:rFonts w:hint="eastAsia" w:ascii="宋体" w:hAnsi="宋体" w:cs="宋体"/>
          <w:spacing w:val="4"/>
          <w:szCs w:val="21"/>
        </w:rPr>
      </w:pPr>
      <w:r>
        <w:rPr>
          <w:rFonts w:hint="eastAsia" w:ascii="宋体" w:hAnsi="宋体" w:cs="宋体"/>
          <w:spacing w:val="4"/>
          <w:szCs w:val="21"/>
        </w:rPr>
        <w:t>合同签订10天内，招标人将向落标的投标人发出落标通知书。不解释落标原因，不退回投标文件。</w:t>
      </w:r>
    </w:p>
    <w:p w14:paraId="75878FDB">
      <w:pPr>
        <w:numPr>
          <w:ilvl w:val="1"/>
          <w:numId w:val="3"/>
        </w:numPr>
        <w:overflowPunct w:val="0"/>
        <w:rPr>
          <w:rFonts w:hint="eastAsia" w:ascii="宋体" w:hAnsi="宋体" w:cs="宋体"/>
          <w:spacing w:val="4"/>
          <w:szCs w:val="21"/>
        </w:rPr>
      </w:pPr>
      <w:r>
        <w:rPr>
          <w:rFonts w:hint="eastAsia" w:ascii="宋体" w:hAnsi="宋体" w:cs="宋体"/>
          <w:spacing w:val="4"/>
          <w:szCs w:val="21"/>
        </w:rPr>
        <w:t>有关费用：投标人应自行承担所有与编写和提交投标文件有关的费用，不论投标的结果如何，招标人在任何情况下均无义务和责任承担这些费用。</w:t>
      </w:r>
    </w:p>
    <w:p w14:paraId="6CA6A8CF">
      <w:pPr>
        <w:numPr>
          <w:ilvl w:val="1"/>
          <w:numId w:val="3"/>
        </w:numPr>
        <w:overflowPunct w:val="0"/>
        <w:rPr>
          <w:rFonts w:hint="eastAsia" w:ascii="宋体" w:hAnsi="宋体" w:cs="宋体"/>
          <w:spacing w:val="4"/>
          <w:szCs w:val="21"/>
        </w:rPr>
        <w:sectPr>
          <w:footerReference r:id="rId10" w:type="first"/>
          <w:footerReference r:id="rId9" w:type="default"/>
          <w:pgSz w:w="11906" w:h="16838"/>
          <w:pgMar w:top="1247" w:right="1247" w:bottom="993" w:left="1247" w:header="851" w:footer="992" w:gutter="0"/>
          <w:pgNumType w:start="2"/>
          <w:cols w:space="720" w:num="1"/>
          <w:docGrid w:type="lines" w:linePitch="312" w:charSpace="0"/>
        </w:sectPr>
      </w:pPr>
      <w:r>
        <w:rPr>
          <w:rFonts w:hint="eastAsia" w:ascii="宋体" w:hAnsi="宋体" w:cs="宋体"/>
          <w:spacing w:val="4"/>
          <w:szCs w:val="21"/>
        </w:rPr>
        <w:t>投标书格式（附后）</w:t>
      </w:r>
    </w:p>
    <w:p w14:paraId="50A70EE6">
      <w:pPr>
        <w:numPr>
          <w:ilvl w:val="0"/>
          <w:numId w:val="2"/>
        </w:numPr>
        <w:overflowPunct w:val="0"/>
        <w:jc w:val="center"/>
        <w:outlineLvl w:val="0"/>
        <w:rPr>
          <w:rFonts w:hint="eastAsia" w:ascii="宋体" w:hAnsi="宋体" w:cs="宋体"/>
          <w:b/>
          <w:spacing w:val="4"/>
          <w:sz w:val="32"/>
        </w:rPr>
      </w:pPr>
      <w:bookmarkStart w:id="10" w:name="_Toc14873"/>
      <w:bookmarkStart w:id="11" w:name="_Toc12285"/>
      <w:bookmarkStart w:id="12" w:name="_Toc27181"/>
      <w:bookmarkStart w:id="13" w:name="_Toc27898"/>
      <w:bookmarkStart w:id="14" w:name="_Toc11033"/>
      <w:bookmarkStart w:id="15" w:name="_Toc16613"/>
      <w:r>
        <w:rPr>
          <w:rFonts w:hint="eastAsia" w:ascii="宋体" w:hAnsi="宋体" w:cs="宋体"/>
          <w:b/>
          <w:spacing w:val="4"/>
          <w:sz w:val="32"/>
        </w:rPr>
        <w:t>合</w:t>
      </w:r>
      <w:r>
        <w:rPr>
          <w:rFonts w:hint="eastAsia" w:ascii="宋体" w:hAnsi="宋体" w:cs="宋体"/>
          <w:b/>
          <w:spacing w:val="4"/>
          <w:sz w:val="32"/>
          <w:szCs w:val="32"/>
        </w:rPr>
        <w:t>同一般</w:t>
      </w:r>
      <w:r>
        <w:rPr>
          <w:rFonts w:hint="eastAsia" w:ascii="宋体" w:hAnsi="宋体" w:cs="宋体"/>
          <w:b/>
          <w:spacing w:val="4"/>
          <w:sz w:val="32"/>
        </w:rPr>
        <w:t>条款</w:t>
      </w:r>
      <w:bookmarkEnd w:id="10"/>
      <w:bookmarkEnd w:id="11"/>
      <w:bookmarkEnd w:id="12"/>
      <w:bookmarkEnd w:id="13"/>
      <w:bookmarkEnd w:id="14"/>
      <w:bookmarkEnd w:id="15"/>
    </w:p>
    <w:p w14:paraId="33F37794">
      <w:pPr>
        <w:numPr>
          <w:ilvl w:val="0"/>
          <w:numId w:val="8"/>
        </w:numPr>
        <w:tabs>
          <w:tab w:val="clear" w:pos="4608"/>
        </w:tabs>
        <w:spacing w:before="156" w:beforeLines="50" w:after="156" w:afterLines="50" w:line="300" w:lineRule="auto"/>
        <w:ind w:left="2936" w:leftChars="1398" w:firstLine="6"/>
        <w:rPr>
          <w:rFonts w:hint="eastAsia" w:ascii="宋体" w:hAnsi="宋体" w:cs="宋体"/>
          <w:b/>
          <w:szCs w:val="21"/>
        </w:rPr>
      </w:pPr>
      <w:r>
        <w:rPr>
          <w:rFonts w:hint="eastAsia" w:ascii="宋体" w:hAnsi="宋体" w:cs="宋体"/>
          <w:b/>
          <w:szCs w:val="21"/>
        </w:rPr>
        <w:t>合同范围、总价</w:t>
      </w:r>
    </w:p>
    <w:p w14:paraId="1E3F436E">
      <w:pPr>
        <w:spacing w:line="300" w:lineRule="auto"/>
        <w:ind w:firstLine="420" w:firstLineChars="200"/>
        <w:rPr>
          <w:rFonts w:hint="eastAsia" w:ascii="宋体" w:hAnsi="宋体" w:cs="宋体"/>
          <w:szCs w:val="21"/>
        </w:rPr>
      </w:pPr>
      <w:r>
        <w:rPr>
          <w:rFonts w:hint="eastAsia" w:ascii="宋体" w:hAnsi="宋体" w:cs="宋体"/>
          <w:szCs w:val="21"/>
        </w:rPr>
        <w:t>加西贝拉压缩机有限公司（以下简称甲方）因生产发展的需要，委托</w:t>
      </w:r>
      <w:r>
        <w:rPr>
          <w:rFonts w:hint="eastAsia" w:ascii="宋体" w:hAnsi="宋体" w:cs="宋体"/>
          <w:b/>
          <w:bCs/>
          <w:szCs w:val="21"/>
          <w:u w:val="single"/>
        </w:rPr>
        <w:t xml:space="preserve">       </w:t>
      </w:r>
      <w:r>
        <w:rPr>
          <w:rFonts w:hint="eastAsia" w:ascii="宋体" w:hAnsi="宋体" w:cs="宋体"/>
          <w:b/>
          <w:bCs/>
          <w:szCs w:val="21"/>
        </w:rPr>
        <w:t>（以下简称乙方）</w:t>
      </w:r>
      <w:r>
        <w:rPr>
          <w:rFonts w:hint="eastAsia" w:ascii="宋体" w:hAnsi="宋体" w:cs="宋体"/>
          <w:szCs w:val="21"/>
        </w:rPr>
        <w:t>设计制造</w:t>
      </w:r>
      <w:r>
        <w:rPr>
          <w:rFonts w:hint="eastAsia" w:ascii="宋体" w:hAnsi="宋体" w:cs="宋体"/>
          <w:b/>
          <w:bCs/>
          <w:szCs w:val="21"/>
          <w:u w:val="single"/>
        </w:rPr>
        <w:t xml:space="preserve">      </w:t>
      </w:r>
      <w:r>
        <w:rPr>
          <w:rFonts w:hint="eastAsia" w:ascii="宋体" w:hAnsi="宋体" w:cs="宋体"/>
          <w:szCs w:val="21"/>
        </w:rPr>
        <w:t>设备，经双方协商达成一致意见，内容如下：</w:t>
      </w:r>
    </w:p>
    <w:p w14:paraId="7C0AA48E">
      <w:pPr>
        <w:numPr>
          <w:ilvl w:val="1"/>
          <w:numId w:val="9"/>
        </w:numPr>
        <w:spacing w:line="300" w:lineRule="auto"/>
        <w:ind w:left="850" w:hanging="453"/>
        <w:rPr>
          <w:rFonts w:hint="eastAsia" w:ascii="宋体" w:hAnsi="宋体" w:cs="宋体"/>
          <w:szCs w:val="21"/>
        </w:rPr>
      </w:pPr>
      <w:r>
        <w:rPr>
          <w:rFonts w:hint="eastAsia" w:ascii="宋体" w:hAnsi="宋体" w:cs="宋体"/>
          <w:szCs w:val="21"/>
        </w:rPr>
        <w:t>本合同供货范围、总价如下：</w:t>
      </w:r>
    </w:p>
    <w:tbl>
      <w:tblPr>
        <w:tblStyle w:val="44"/>
        <w:tblW w:w="9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2393"/>
        <w:gridCol w:w="1027"/>
        <w:gridCol w:w="3349"/>
      </w:tblGrid>
      <w:tr w14:paraId="6E89B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1" w:type="dxa"/>
          </w:tcPr>
          <w:p w14:paraId="3F57D45F">
            <w:pPr>
              <w:overflowPunct w:val="0"/>
              <w:spacing w:line="360" w:lineRule="exact"/>
              <w:jc w:val="center"/>
              <w:rPr>
                <w:rFonts w:hint="eastAsia" w:ascii="宋体" w:hAnsi="宋体" w:cs="宋体"/>
                <w:spacing w:val="4"/>
                <w:szCs w:val="21"/>
              </w:rPr>
            </w:pPr>
            <w:r>
              <w:rPr>
                <w:rFonts w:hint="eastAsia" w:ascii="宋体" w:hAnsi="宋体" w:cs="宋体"/>
                <w:spacing w:val="4"/>
                <w:szCs w:val="21"/>
              </w:rPr>
              <w:t>名称</w:t>
            </w:r>
          </w:p>
        </w:tc>
        <w:tc>
          <w:tcPr>
            <w:tcW w:w="2393" w:type="dxa"/>
          </w:tcPr>
          <w:p w14:paraId="277B12DC">
            <w:pPr>
              <w:overflowPunct w:val="0"/>
              <w:spacing w:line="360" w:lineRule="exact"/>
              <w:jc w:val="center"/>
              <w:rPr>
                <w:rFonts w:hint="eastAsia" w:ascii="宋体" w:hAnsi="宋体" w:cs="宋体"/>
                <w:spacing w:val="4"/>
                <w:szCs w:val="21"/>
              </w:rPr>
            </w:pPr>
            <w:r>
              <w:rPr>
                <w:rFonts w:hint="eastAsia" w:ascii="宋体" w:hAnsi="宋体" w:cs="宋体"/>
                <w:spacing w:val="4"/>
                <w:szCs w:val="21"/>
              </w:rPr>
              <w:t>型号</w:t>
            </w:r>
          </w:p>
        </w:tc>
        <w:tc>
          <w:tcPr>
            <w:tcW w:w="1027" w:type="dxa"/>
          </w:tcPr>
          <w:p w14:paraId="378F4D4D">
            <w:pPr>
              <w:overflowPunct w:val="0"/>
              <w:spacing w:line="360" w:lineRule="exact"/>
              <w:jc w:val="center"/>
              <w:rPr>
                <w:rFonts w:hint="eastAsia" w:ascii="宋体" w:hAnsi="宋体" w:cs="宋体"/>
                <w:spacing w:val="4"/>
                <w:szCs w:val="21"/>
              </w:rPr>
            </w:pPr>
            <w:r>
              <w:rPr>
                <w:rFonts w:hint="eastAsia" w:ascii="宋体" w:hAnsi="宋体" w:cs="宋体"/>
                <w:spacing w:val="4"/>
                <w:szCs w:val="21"/>
              </w:rPr>
              <w:t>台数</w:t>
            </w:r>
          </w:p>
        </w:tc>
        <w:tc>
          <w:tcPr>
            <w:tcW w:w="3349" w:type="dxa"/>
          </w:tcPr>
          <w:p w14:paraId="0F95527A">
            <w:pPr>
              <w:overflowPunct w:val="0"/>
              <w:spacing w:line="360" w:lineRule="exact"/>
              <w:jc w:val="center"/>
              <w:rPr>
                <w:rFonts w:hint="eastAsia" w:ascii="宋体" w:hAnsi="宋体" w:cs="宋体"/>
                <w:spacing w:val="4"/>
                <w:szCs w:val="21"/>
              </w:rPr>
            </w:pPr>
            <w:r>
              <w:rPr>
                <w:rFonts w:hint="eastAsia" w:ascii="宋体" w:hAnsi="宋体" w:cs="宋体"/>
                <w:spacing w:val="4"/>
                <w:szCs w:val="21"/>
              </w:rPr>
              <w:t>总价（元）</w:t>
            </w:r>
          </w:p>
        </w:tc>
      </w:tr>
      <w:tr w14:paraId="2EFED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2471" w:type="dxa"/>
            <w:vAlign w:val="center"/>
          </w:tcPr>
          <w:p w14:paraId="34DAE747">
            <w:pPr>
              <w:spacing w:line="300" w:lineRule="exact"/>
              <w:ind w:firstLine="420" w:firstLineChars="200"/>
              <w:jc w:val="center"/>
              <w:rPr>
                <w:rFonts w:hint="eastAsia" w:ascii="宋体" w:hAnsi="宋体" w:cs="宋体"/>
                <w:szCs w:val="21"/>
              </w:rPr>
            </w:pPr>
          </w:p>
        </w:tc>
        <w:tc>
          <w:tcPr>
            <w:tcW w:w="2393" w:type="dxa"/>
          </w:tcPr>
          <w:p w14:paraId="4CE74FC1">
            <w:pPr>
              <w:overflowPunct w:val="0"/>
              <w:spacing w:line="360" w:lineRule="exact"/>
              <w:jc w:val="center"/>
              <w:rPr>
                <w:rFonts w:hint="eastAsia" w:ascii="宋体" w:hAnsi="宋体" w:cs="宋体"/>
                <w:spacing w:val="4"/>
                <w:szCs w:val="21"/>
              </w:rPr>
            </w:pPr>
          </w:p>
        </w:tc>
        <w:tc>
          <w:tcPr>
            <w:tcW w:w="1027" w:type="dxa"/>
          </w:tcPr>
          <w:p w14:paraId="60EB8B75">
            <w:pPr>
              <w:overflowPunct w:val="0"/>
              <w:spacing w:line="360" w:lineRule="exact"/>
              <w:jc w:val="center"/>
              <w:rPr>
                <w:rFonts w:hint="eastAsia" w:ascii="宋体" w:hAnsi="宋体" w:cs="宋体"/>
                <w:spacing w:val="4"/>
                <w:szCs w:val="21"/>
              </w:rPr>
            </w:pPr>
          </w:p>
        </w:tc>
        <w:tc>
          <w:tcPr>
            <w:tcW w:w="3349" w:type="dxa"/>
          </w:tcPr>
          <w:p w14:paraId="4751FA5E">
            <w:pPr>
              <w:overflowPunct w:val="0"/>
              <w:spacing w:line="360" w:lineRule="exact"/>
              <w:jc w:val="center"/>
              <w:rPr>
                <w:rFonts w:hint="eastAsia" w:ascii="宋体" w:hAnsi="宋体" w:cs="宋体"/>
                <w:spacing w:val="4"/>
                <w:szCs w:val="21"/>
              </w:rPr>
            </w:pPr>
          </w:p>
        </w:tc>
      </w:tr>
      <w:tr w14:paraId="5BEC0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240" w:type="dxa"/>
            <w:gridSpan w:val="4"/>
            <w:vAlign w:val="center"/>
          </w:tcPr>
          <w:p w14:paraId="01029A74">
            <w:pPr>
              <w:overflowPunct w:val="0"/>
              <w:spacing w:line="360" w:lineRule="exact"/>
              <w:jc w:val="left"/>
              <w:rPr>
                <w:rFonts w:hint="eastAsia" w:ascii="宋体" w:hAnsi="宋体" w:cs="宋体"/>
                <w:spacing w:val="4"/>
                <w:szCs w:val="21"/>
              </w:rPr>
            </w:pPr>
            <w:r>
              <w:rPr>
                <w:rFonts w:hint="eastAsia" w:ascii="宋体" w:hAnsi="宋体" w:cs="宋体"/>
                <w:szCs w:val="21"/>
              </w:rPr>
              <w:t>含必要的安全防护装置、报警器等</w:t>
            </w:r>
          </w:p>
        </w:tc>
      </w:tr>
      <w:tr w14:paraId="7CE18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0" w:type="dxa"/>
            <w:gridSpan w:val="4"/>
            <w:vAlign w:val="center"/>
          </w:tcPr>
          <w:p w14:paraId="08B0ACCA">
            <w:pPr>
              <w:spacing w:line="300" w:lineRule="auto"/>
              <w:jc w:val="left"/>
              <w:rPr>
                <w:rFonts w:hint="eastAsia" w:ascii="宋体" w:hAnsi="宋体" w:cs="宋体"/>
                <w:szCs w:val="21"/>
              </w:rPr>
            </w:pPr>
            <w:r>
              <w:rPr>
                <w:rFonts w:hint="eastAsia" w:ascii="宋体" w:hAnsi="宋体" w:cs="宋体"/>
                <w:szCs w:val="21"/>
              </w:rPr>
              <w:t>总计：大写人民币</w:t>
            </w:r>
            <w:r>
              <w:rPr>
                <w:rFonts w:hint="eastAsia" w:ascii="宋体" w:hAnsi="宋体" w:cs="宋体"/>
                <w:b/>
                <w:bCs/>
                <w:szCs w:val="21"/>
                <w:u w:val="single"/>
              </w:rPr>
              <w:t xml:space="preserve">      </w:t>
            </w:r>
            <w:r>
              <w:rPr>
                <w:rFonts w:hint="eastAsia" w:ascii="宋体" w:hAnsi="宋体" w:cs="宋体"/>
                <w:szCs w:val="21"/>
              </w:rPr>
              <w:t>圆整（￥</w:t>
            </w:r>
            <w:r>
              <w:rPr>
                <w:rFonts w:hint="eastAsia" w:ascii="宋体" w:hAnsi="宋体" w:cs="宋体"/>
                <w:b/>
                <w:bCs/>
                <w:szCs w:val="21"/>
                <w:u w:val="single"/>
              </w:rPr>
              <w:t xml:space="preserve">      </w:t>
            </w:r>
            <w:r>
              <w:rPr>
                <w:rFonts w:hint="eastAsia" w:ascii="宋体" w:hAnsi="宋体" w:cs="宋体"/>
                <w:szCs w:val="21"/>
              </w:rPr>
              <w:t>元），含</w:t>
            </w:r>
            <w:r>
              <w:rPr>
                <w:rFonts w:hint="eastAsia" w:ascii="宋体" w:hAnsi="宋体" w:cs="宋体"/>
                <w:b/>
                <w:bCs/>
                <w:szCs w:val="21"/>
                <w:u w:val="single"/>
              </w:rPr>
              <w:t>13%</w:t>
            </w:r>
            <w:r>
              <w:rPr>
                <w:rFonts w:hint="eastAsia" w:ascii="宋体" w:hAnsi="宋体" w:cs="宋体"/>
                <w:szCs w:val="21"/>
              </w:rPr>
              <w:t>增值税。</w:t>
            </w:r>
          </w:p>
        </w:tc>
      </w:tr>
      <w:tr w14:paraId="12BAB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40" w:type="dxa"/>
            <w:gridSpan w:val="4"/>
            <w:vAlign w:val="center"/>
          </w:tcPr>
          <w:p w14:paraId="736C09A3">
            <w:pPr>
              <w:spacing w:line="300" w:lineRule="auto"/>
              <w:jc w:val="left"/>
              <w:rPr>
                <w:rFonts w:hint="eastAsia" w:ascii="宋体" w:hAnsi="宋体" w:cs="宋体"/>
                <w:szCs w:val="21"/>
              </w:rPr>
            </w:pPr>
            <w:r>
              <w:rPr>
                <w:rFonts w:hint="eastAsia" w:ascii="宋体" w:hAnsi="宋体" w:cs="宋体"/>
                <w:szCs w:val="21"/>
              </w:rPr>
              <w:t>详见《技术要求协议》/《技术协议》</w:t>
            </w:r>
          </w:p>
        </w:tc>
      </w:tr>
    </w:tbl>
    <w:p w14:paraId="20137C58">
      <w:pPr>
        <w:numPr>
          <w:ilvl w:val="0"/>
          <w:numId w:val="8"/>
        </w:numPr>
        <w:tabs>
          <w:tab w:val="clear" w:pos="4608"/>
        </w:tabs>
        <w:spacing w:before="156" w:beforeLines="50" w:after="156" w:afterLines="50" w:line="300" w:lineRule="auto"/>
        <w:ind w:left="2936" w:leftChars="1398" w:firstLine="6"/>
        <w:rPr>
          <w:rFonts w:hint="eastAsia" w:ascii="宋体" w:hAnsi="宋体" w:cs="宋体"/>
          <w:b/>
          <w:szCs w:val="21"/>
        </w:rPr>
      </w:pPr>
      <w:r>
        <w:rPr>
          <w:rFonts w:hint="eastAsia" w:ascii="宋体" w:hAnsi="宋体" w:cs="宋体"/>
          <w:b/>
          <w:szCs w:val="21"/>
        </w:rPr>
        <w:t>付款方式</w:t>
      </w:r>
    </w:p>
    <w:p w14:paraId="2695FAC3">
      <w:pPr>
        <w:numPr>
          <w:ilvl w:val="1"/>
          <w:numId w:val="10"/>
        </w:numPr>
        <w:spacing w:line="300" w:lineRule="auto"/>
        <w:rPr>
          <w:rFonts w:hint="eastAsia" w:ascii="宋体" w:hAnsi="宋体" w:cs="宋体"/>
          <w:szCs w:val="21"/>
        </w:rPr>
      </w:pPr>
      <w:r>
        <w:rPr>
          <w:rFonts w:hint="eastAsia" w:ascii="宋体" w:hAnsi="宋体" w:cs="宋体"/>
          <w:szCs w:val="21"/>
        </w:rPr>
        <w:t>本合同项下的所有支付，均以人民币支付。</w:t>
      </w:r>
    </w:p>
    <w:p w14:paraId="62C1C68E">
      <w:pPr>
        <w:numPr>
          <w:ilvl w:val="1"/>
          <w:numId w:val="10"/>
        </w:numPr>
        <w:spacing w:line="300" w:lineRule="auto"/>
        <w:rPr>
          <w:rFonts w:hint="eastAsia" w:ascii="宋体" w:hAnsi="宋体" w:cs="宋体"/>
          <w:szCs w:val="21"/>
        </w:rPr>
      </w:pPr>
      <w:r>
        <w:rPr>
          <w:rFonts w:hint="eastAsia" w:ascii="宋体" w:hAnsi="宋体" w:cs="宋体"/>
          <w:szCs w:val="21"/>
        </w:rPr>
        <w:t>甲方：</w:t>
      </w:r>
    </w:p>
    <w:p w14:paraId="3EEB2CDF">
      <w:pPr>
        <w:spacing w:line="300" w:lineRule="auto"/>
        <w:ind w:left="1050" w:leftChars="500"/>
        <w:rPr>
          <w:rFonts w:hint="eastAsia" w:ascii="宋体" w:hAnsi="宋体" w:cs="宋体"/>
          <w:szCs w:val="21"/>
        </w:rPr>
      </w:pPr>
      <w:r>
        <w:rPr>
          <w:rFonts w:hint="eastAsia" w:ascii="宋体" w:hAnsi="宋体" w:cs="宋体"/>
          <w:szCs w:val="21"/>
        </w:rPr>
        <w:t>开户行：中国建设银行嘉兴分行营业部</w:t>
      </w:r>
    </w:p>
    <w:p w14:paraId="5F254771">
      <w:pPr>
        <w:spacing w:line="300" w:lineRule="auto"/>
        <w:ind w:left="1050" w:leftChars="500"/>
        <w:rPr>
          <w:rFonts w:hint="eastAsia" w:ascii="宋体" w:hAnsi="宋体" w:cs="宋体"/>
          <w:szCs w:val="21"/>
        </w:rPr>
      </w:pPr>
      <w:r>
        <w:rPr>
          <w:rFonts w:hint="eastAsia" w:ascii="宋体" w:hAnsi="宋体" w:cs="宋体"/>
          <w:szCs w:val="21"/>
        </w:rPr>
        <w:t>银行账号：3300 1638 0470 5911 2233</w:t>
      </w:r>
    </w:p>
    <w:p w14:paraId="3432B17D">
      <w:pPr>
        <w:numPr>
          <w:ilvl w:val="1"/>
          <w:numId w:val="10"/>
        </w:numPr>
        <w:spacing w:line="300" w:lineRule="auto"/>
        <w:rPr>
          <w:rFonts w:hint="eastAsia" w:ascii="宋体" w:hAnsi="宋体" w:cs="宋体"/>
          <w:szCs w:val="21"/>
        </w:rPr>
      </w:pPr>
      <w:r>
        <w:rPr>
          <w:rFonts w:hint="eastAsia" w:ascii="宋体" w:hAnsi="宋体" w:cs="宋体"/>
          <w:szCs w:val="21"/>
        </w:rPr>
        <w:t>乙方：</w:t>
      </w:r>
    </w:p>
    <w:p w14:paraId="17CFD06B">
      <w:pPr>
        <w:spacing w:line="300" w:lineRule="auto"/>
        <w:ind w:left="630" w:leftChars="300" w:firstLine="420" w:firstLineChars="200"/>
        <w:rPr>
          <w:rFonts w:hint="eastAsia" w:ascii="宋体" w:hAnsi="宋体" w:cs="宋体"/>
          <w:szCs w:val="21"/>
        </w:rPr>
      </w:pPr>
      <w:r>
        <w:rPr>
          <w:rFonts w:hint="eastAsia" w:ascii="宋体" w:hAnsi="宋体" w:cs="宋体"/>
          <w:szCs w:val="21"/>
        </w:rPr>
        <w:t>开户行：</w:t>
      </w:r>
    </w:p>
    <w:p w14:paraId="1A7B61B4">
      <w:pPr>
        <w:spacing w:line="300" w:lineRule="auto"/>
        <w:ind w:left="630" w:leftChars="300" w:firstLine="420" w:firstLineChars="200"/>
        <w:rPr>
          <w:rFonts w:hint="eastAsia" w:ascii="宋体" w:hAnsi="宋体" w:cs="宋体"/>
          <w:szCs w:val="21"/>
        </w:rPr>
      </w:pPr>
      <w:r>
        <w:rPr>
          <w:rFonts w:hint="eastAsia" w:ascii="宋体" w:hAnsi="宋体" w:cs="宋体"/>
          <w:szCs w:val="21"/>
        </w:rPr>
        <w:t>银行账号：</w:t>
      </w:r>
    </w:p>
    <w:p w14:paraId="0A5FFF26">
      <w:pPr>
        <w:numPr>
          <w:ilvl w:val="1"/>
          <w:numId w:val="10"/>
        </w:numPr>
        <w:spacing w:line="300" w:lineRule="auto"/>
        <w:rPr>
          <w:rFonts w:hint="eastAsia" w:ascii="宋体" w:hAnsi="宋体" w:cs="宋体"/>
          <w:szCs w:val="21"/>
        </w:rPr>
      </w:pPr>
      <w:r>
        <w:rPr>
          <w:rFonts w:hint="eastAsia" w:ascii="宋体" w:hAnsi="宋体" w:cs="宋体"/>
          <w:szCs w:val="21"/>
        </w:rPr>
        <w:t>合同总价的</w:t>
      </w:r>
      <w:r>
        <w:rPr>
          <w:rFonts w:hint="eastAsia" w:ascii="宋体" w:hAnsi="宋体" w:cs="宋体"/>
          <w:b/>
          <w:bCs/>
          <w:szCs w:val="21"/>
          <w:u w:val="single"/>
        </w:rPr>
        <w:t xml:space="preserve">   </w:t>
      </w:r>
      <w:r>
        <w:rPr>
          <w:rFonts w:hint="eastAsia" w:ascii="宋体" w:hAnsi="宋体" w:cs="宋体"/>
          <w:szCs w:val="21"/>
        </w:rPr>
        <w:t>预付款，在合同经双方盖章生效后2周内，由甲方支付给乙方。</w:t>
      </w:r>
    </w:p>
    <w:p w14:paraId="1FCC1698">
      <w:pPr>
        <w:numPr>
          <w:ilvl w:val="1"/>
          <w:numId w:val="10"/>
        </w:numPr>
        <w:spacing w:line="300" w:lineRule="auto"/>
        <w:rPr>
          <w:rFonts w:hint="eastAsia" w:ascii="宋体" w:hAnsi="宋体" w:cs="宋体"/>
          <w:szCs w:val="21"/>
        </w:rPr>
      </w:pPr>
      <w:r>
        <w:rPr>
          <w:rFonts w:hint="eastAsia" w:ascii="宋体" w:hAnsi="宋体" w:cs="宋体"/>
          <w:szCs w:val="21"/>
        </w:rPr>
        <w:t>合同总价的</w:t>
      </w:r>
      <w:r>
        <w:rPr>
          <w:rFonts w:hint="eastAsia" w:ascii="宋体" w:hAnsi="宋体" w:cs="宋体"/>
          <w:b/>
          <w:bCs/>
          <w:szCs w:val="21"/>
          <w:u w:val="single"/>
        </w:rPr>
        <w:t xml:space="preserve">   </w:t>
      </w:r>
      <w:r>
        <w:rPr>
          <w:rFonts w:hint="eastAsia" w:ascii="宋体" w:hAnsi="宋体" w:cs="宋体"/>
          <w:szCs w:val="21"/>
        </w:rPr>
        <w:t>款，在预验收合格后，乙方发货前5天内，由甲方支付给乙方。</w:t>
      </w:r>
    </w:p>
    <w:p w14:paraId="738B8B20">
      <w:pPr>
        <w:numPr>
          <w:ilvl w:val="1"/>
          <w:numId w:val="10"/>
        </w:numPr>
        <w:spacing w:line="300" w:lineRule="auto"/>
        <w:rPr>
          <w:rFonts w:hint="eastAsia" w:ascii="宋体" w:hAnsi="宋体" w:cs="宋体"/>
          <w:szCs w:val="21"/>
        </w:rPr>
      </w:pPr>
      <w:r>
        <w:rPr>
          <w:rFonts w:hint="eastAsia" w:ascii="宋体" w:hAnsi="宋体" w:cs="宋体"/>
          <w:szCs w:val="21"/>
        </w:rPr>
        <w:t>合同总价的</w:t>
      </w:r>
      <w:r>
        <w:rPr>
          <w:rFonts w:hint="eastAsia" w:ascii="宋体" w:hAnsi="宋体" w:cs="宋体"/>
          <w:b/>
          <w:bCs/>
          <w:szCs w:val="21"/>
          <w:u w:val="single"/>
        </w:rPr>
        <w:t xml:space="preserve">   </w:t>
      </w:r>
      <w:r>
        <w:rPr>
          <w:rFonts w:hint="eastAsia" w:ascii="宋体" w:hAnsi="宋体" w:cs="宋体"/>
          <w:szCs w:val="21"/>
        </w:rPr>
        <w:t>款，在设备安装调试终验收完成后一个月内，由甲方支付给乙方。支付前，乙方必须向甲方提交下列资料：</w:t>
      </w:r>
    </w:p>
    <w:p w14:paraId="4B653685">
      <w:pPr>
        <w:numPr>
          <w:ilvl w:val="0"/>
          <w:numId w:val="11"/>
        </w:numPr>
        <w:spacing w:line="300" w:lineRule="auto"/>
        <w:ind w:left="400"/>
        <w:rPr>
          <w:rFonts w:hint="eastAsia" w:ascii="宋体" w:hAnsi="宋体" w:cs="宋体"/>
          <w:szCs w:val="21"/>
        </w:rPr>
      </w:pPr>
      <w:r>
        <w:rPr>
          <w:rFonts w:hint="eastAsia" w:ascii="宋体" w:hAnsi="宋体" w:cs="宋体"/>
          <w:szCs w:val="21"/>
        </w:rPr>
        <w:t>由乙方开具合同总价100%的增值税专用发票。乙方票据有误的，甲方有权无责顺延付款，且由乙方承担可能的税务损失。</w:t>
      </w:r>
    </w:p>
    <w:p w14:paraId="04E97BBD">
      <w:pPr>
        <w:numPr>
          <w:ilvl w:val="255"/>
          <w:numId w:val="0"/>
        </w:numPr>
        <w:spacing w:line="300" w:lineRule="auto"/>
        <w:ind w:firstLine="348" w:firstLineChars="166"/>
        <w:rPr>
          <w:rFonts w:hint="eastAsia" w:ascii="宋体" w:hAnsi="宋体" w:cs="宋体"/>
          <w:szCs w:val="21"/>
        </w:rPr>
      </w:pPr>
      <w:r>
        <w:rPr>
          <w:rFonts w:hint="eastAsia" w:ascii="宋体" w:hAnsi="宋体" w:cs="宋体"/>
          <w:szCs w:val="21"/>
        </w:rPr>
        <w:t>（2）双方授权代表按合同第3.5和7.4.7条签署的设备《终验收纪要》的正本二份。</w:t>
      </w:r>
    </w:p>
    <w:p w14:paraId="0C3CB8F6">
      <w:pPr>
        <w:numPr>
          <w:ilvl w:val="255"/>
          <w:numId w:val="0"/>
        </w:numPr>
        <w:spacing w:line="300" w:lineRule="auto"/>
        <w:ind w:firstLine="348" w:firstLineChars="166"/>
        <w:rPr>
          <w:rFonts w:hint="eastAsia" w:ascii="宋体" w:hAnsi="宋体" w:cs="宋体"/>
          <w:szCs w:val="21"/>
        </w:rPr>
      </w:pPr>
      <w:r>
        <w:rPr>
          <w:rFonts w:hint="eastAsia" w:ascii="宋体" w:hAnsi="宋体" w:cs="宋体"/>
          <w:szCs w:val="21"/>
        </w:rPr>
        <w:t>（3）3份全套图纸、说明书等资料（包括各外购件的说明书、合格证、保修卡等资料）。</w:t>
      </w:r>
    </w:p>
    <w:p w14:paraId="10906ACB">
      <w:pPr>
        <w:numPr>
          <w:ilvl w:val="1"/>
          <w:numId w:val="10"/>
        </w:numPr>
        <w:spacing w:line="300" w:lineRule="auto"/>
        <w:rPr>
          <w:rFonts w:hint="eastAsia" w:ascii="宋体" w:hAnsi="宋体" w:cs="宋体"/>
          <w:szCs w:val="21"/>
        </w:rPr>
      </w:pPr>
      <w:r>
        <w:rPr>
          <w:rFonts w:hint="eastAsia" w:ascii="宋体" w:hAnsi="宋体" w:cs="宋体"/>
          <w:szCs w:val="21"/>
        </w:rPr>
        <w:t>合同总价的</w:t>
      </w:r>
      <w:r>
        <w:rPr>
          <w:rFonts w:hint="eastAsia" w:ascii="宋体" w:hAnsi="宋体" w:cs="宋体"/>
          <w:b/>
          <w:bCs/>
          <w:szCs w:val="21"/>
          <w:u w:val="single"/>
        </w:rPr>
        <w:t xml:space="preserve">   </w:t>
      </w:r>
      <w:r>
        <w:rPr>
          <w:rFonts w:hint="eastAsia" w:ascii="宋体" w:hAnsi="宋体" w:cs="宋体"/>
          <w:szCs w:val="21"/>
        </w:rPr>
        <w:t>货款，在设备完成验收并签署《终验收纪要》之日起满12个月保证期且期间没有发现合同规定缺陷后支付。</w:t>
      </w:r>
    </w:p>
    <w:p w14:paraId="0F5DB4C8">
      <w:pPr>
        <w:numPr>
          <w:ilvl w:val="1"/>
          <w:numId w:val="10"/>
        </w:numPr>
        <w:spacing w:line="300" w:lineRule="auto"/>
        <w:rPr>
          <w:rFonts w:hint="eastAsia" w:ascii="宋体" w:hAnsi="宋体" w:cs="宋体"/>
          <w:szCs w:val="21"/>
        </w:rPr>
      </w:pPr>
      <w:r>
        <w:rPr>
          <w:rFonts w:hint="eastAsia" w:ascii="宋体" w:hAnsi="宋体" w:cs="宋体"/>
          <w:szCs w:val="21"/>
        </w:rPr>
        <w:t>合同全部价款以现汇方式支付。</w:t>
      </w:r>
    </w:p>
    <w:p w14:paraId="18ED17A1">
      <w:pPr>
        <w:numPr>
          <w:ilvl w:val="0"/>
          <w:numId w:val="8"/>
        </w:numPr>
        <w:tabs>
          <w:tab w:val="clear" w:pos="4608"/>
        </w:tabs>
        <w:spacing w:before="156" w:beforeLines="50" w:after="156" w:afterLines="50" w:line="300" w:lineRule="auto"/>
        <w:ind w:left="2936" w:leftChars="1398" w:firstLine="6"/>
        <w:rPr>
          <w:rFonts w:hint="eastAsia" w:ascii="宋体" w:hAnsi="宋体" w:cs="宋体"/>
          <w:b/>
          <w:szCs w:val="21"/>
        </w:rPr>
      </w:pPr>
      <w:r>
        <w:rPr>
          <w:rFonts w:hint="eastAsia" w:ascii="宋体" w:hAnsi="宋体" w:cs="宋体"/>
          <w:b/>
          <w:szCs w:val="21"/>
        </w:rPr>
        <w:t>交货期与交货地点</w:t>
      </w:r>
    </w:p>
    <w:p w14:paraId="5AB02D17">
      <w:pPr>
        <w:numPr>
          <w:ilvl w:val="1"/>
          <w:numId w:val="12"/>
        </w:numPr>
        <w:spacing w:line="300" w:lineRule="auto"/>
        <w:rPr>
          <w:rFonts w:hint="eastAsia" w:ascii="宋体" w:hAnsi="宋体" w:cs="宋体"/>
          <w:szCs w:val="21"/>
        </w:rPr>
      </w:pPr>
      <w:r>
        <w:rPr>
          <w:rFonts w:hint="eastAsia" w:ascii="宋体" w:hAnsi="宋体" w:cs="宋体"/>
          <w:szCs w:val="21"/>
        </w:rPr>
        <w:t xml:space="preserve">交货期： </w:t>
      </w:r>
      <w:r>
        <w:rPr>
          <w:rFonts w:hint="eastAsia" w:ascii="宋体" w:hAnsi="宋体" w:cs="宋体"/>
          <w:b/>
          <w:bCs/>
          <w:szCs w:val="21"/>
          <w:u w:val="single"/>
        </w:rPr>
        <w:t xml:space="preserve">   </w:t>
      </w:r>
      <w:r>
        <w:rPr>
          <w:rFonts w:hint="eastAsia" w:ascii="宋体" w:hAnsi="宋体" w:cs="宋体"/>
          <w:szCs w:val="21"/>
        </w:rPr>
        <w:t>。</w:t>
      </w:r>
    </w:p>
    <w:p w14:paraId="33BEAEA3">
      <w:pPr>
        <w:numPr>
          <w:ilvl w:val="1"/>
          <w:numId w:val="12"/>
        </w:numPr>
        <w:spacing w:line="300" w:lineRule="auto"/>
        <w:rPr>
          <w:rFonts w:hint="eastAsia" w:ascii="宋体" w:hAnsi="宋体" w:cs="宋体"/>
          <w:szCs w:val="21"/>
        </w:rPr>
      </w:pPr>
      <w:r>
        <w:rPr>
          <w:rFonts w:hint="eastAsia" w:ascii="宋体" w:hAnsi="宋体" w:cs="宋体"/>
          <w:szCs w:val="21"/>
        </w:rPr>
        <w:t>交货地点：</w:t>
      </w:r>
      <w:r>
        <w:rPr>
          <w:rFonts w:hint="eastAsia" w:ascii="宋体" w:hAnsi="宋体" w:cs="宋体"/>
          <w:b/>
          <w:bCs/>
          <w:szCs w:val="21"/>
          <w:u w:val="single"/>
        </w:rPr>
        <w:t xml:space="preserve">   </w:t>
      </w:r>
      <w:r>
        <w:rPr>
          <w:rFonts w:hint="eastAsia" w:ascii="宋体" w:hAnsi="宋体" w:cs="宋体"/>
          <w:szCs w:val="21"/>
        </w:rPr>
        <w:t>。</w:t>
      </w:r>
    </w:p>
    <w:p w14:paraId="353E708B">
      <w:pPr>
        <w:numPr>
          <w:ilvl w:val="1"/>
          <w:numId w:val="12"/>
        </w:numPr>
        <w:spacing w:line="300" w:lineRule="auto"/>
        <w:rPr>
          <w:rFonts w:hint="eastAsia" w:ascii="宋体" w:hAnsi="宋体" w:cs="宋体"/>
          <w:szCs w:val="21"/>
        </w:rPr>
      </w:pPr>
      <w:r>
        <w:rPr>
          <w:rFonts w:hint="eastAsia" w:ascii="宋体" w:hAnsi="宋体" w:cs="宋体"/>
          <w:szCs w:val="21"/>
        </w:rPr>
        <w:t>审图期（如是标准设备则不用审图）：合同生效后，双方在</w:t>
      </w:r>
      <w:r>
        <w:rPr>
          <w:rFonts w:hint="eastAsia" w:ascii="宋体" w:hAnsi="宋体" w:cs="宋体"/>
          <w:b/>
          <w:bCs/>
          <w:szCs w:val="21"/>
          <w:u w:val="single"/>
        </w:rPr>
        <w:t xml:space="preserve">   </w:t>
      </w:r>
      <w:r>
        <w:rPr>
          <w:rFonts w:hint="eastAsia" w:ascii="宋体" w:hAnsi="宋体" w:cs="宋体"/>
          <w:szCs w:val="21"/>
        </w:rPr>
        <w:t>天内完成审图，双方认可并签订审图纪要，乙方尽快开始生产制造。</w:t>
      </w:r>
    </w:p>
    <w:p w14:paraId="3770495B">
      <w:pPr>
        <w:numPr>
          <w:ilvl w:val="1"/>
          <w:numId w:val="12"/>
        </w:numPr>
        <w:spacing w:line="300" w:lineRule="auto"/>
        <w:rPr>
          <w:rFonts w:hint="eastAsia" w:ascii="宋体" w:hAnsi="宋体" w:cs="宋体"/>
          <w:szCs w:val="21"/>
        </w:rPr>
      </w:pPr>
      <w:r>
        <w:rPr>
          <w:rFonts w:hint="eastAsia" w:ascii="宋体" w:hAnsi="宋体" w:cs="宋体"/>
          <w:szCs w:val="21"/>
        </w:rPr>
        <w:t>安装调试期：设备到货后，</w:t>
      </w:r>
      <w:r>
        <w:rPr>
          <w:rFonts w:hint="eastAsia" w:ascii="宋体" w:hAnsi="宋体" w:cs="宋体"/>
          <w:b/>
          <w:bCs/>
          <w:szCs w:val="21"/>
          <w:u w:val="single"/>
        </w:rPr>
        <w:t xml:space="preserve">   </w:t>
      </w:r>
      <w:r>
        <w:rPr>
          <w:rFonts w:hint="eastAsia" w:ascii="宋体" w:hAnsi="宋体" w:cs="宋体"/>
          <w:szCs w:val="21"/>
        </w:rPr>
        <w:t>天内完成设备的安装调试，双方签署安装调试完工纪要。</w:t>
      </w:r>
    </w:p>
    <w:p w14:paraId="69BAFF20">
      <w:pPr>
        <w:numPr>
          <w:ilvl w:val="1"/>
          <w:numId w:val="12"/>
        </w:numPr>
        <w:spacing w:line="300" w:lineRule="auto"/>
        <w:rPr>
          <w:rFonts w:hint="eastAsia" w:ascii="宋体" w:hAnsi="宋体" w:cs="宋体"/>
          <w:szCs w:val="21"/>
        </w:rPr>
      </w:pPr>
      <w:r>
        <w:rPr>
          <w:rFonts w:hint="eastAsia" w:ascii="宋体" w:hAnsi="宋体" w:cs="宋体"/>
          <w:szCs w:val="21"/>
        </w:rPr>
        <w:t>最终验收期：安装调试完成后，设备批量生产稳定运行</w:t>
      </w:r>
      <w:r>
        <w:rPr>
          <w:rFonts w:hint="eastAsia" w:ascii="宋体" w:hAnsi="宋体" w:cs="宋体"/>
          <w:b/>
          <w:bCs/>
          <w:szCs w:val="21"/>
          <w:u w:val="single"/>
        </w:rPr>
        <w:t xml:space="preserve">   </w:t>
      </w:r>
      <w:r>
        <w:rPr>
          <w:rFonts w:hint="eastAsia" w:ascii="宋体" w:hAnsi="宋体" w:cs="宋体"/>
          <w:szCs w:val="21"/>
        </w:rPr>
        <w:t>天，满足最终验收关键技术工艺指标（详见技术协议），甲方组织项目最终验收，双方签署终验收纪要。</w:t>
      </w:r>
    </w:p>
    <w:p w14:paraId="45DA4B03">
      <w:pPr>
        <w:numPr>
          <w:ilvl w:val="1"/>
          <w:numId w:val="12"/>
        </w:numPr>
        <w:spacing w:line="300" w:lineRule="auto"/>
        <w:rPr>
          <w:rFonts w:hint="eastAsia" w:ascii="宋体" w:hAnsi="宋体" w:cs="宋体"/>
          <w:szCs w:val="21"/>
        </w:rPr>
      </w:pPr>
      <w:r>
        <w:rPr>
          <w:rFonts w:hint="eastAsia" w:ascii="宋体" w:hAnsi="宋体" w:cs="宋体"/>
          <w:szCs w:val="21"/>
        </w:rPr>
        <w:t>因甲方原因导致推迟交货、安装调试和终验收的情况，双方协商具体调整。甲方有权根据实际情况延长合同履行期限，且在此期间甲方不承担由此产生的任何责任及损失。</w:t>
      </w:r>
    </w:p>
    <w:p w14:paraId="627C8A81">
      <w:pPr>
        <w:numPr>
          <w:ilvl w:val="0"/>
          <w:numId w:val="8"/>
        </w:numPr>
        <w:tabs>
          <w:tab w:val="clear" w:pos="4608"/>
        </w:tabs>
        <w:spacing w:before="156" w:beforeLines="50" w:after="156" w:afterLines="50" w:line="300" w:lineRule="auto"/>
        <w:ind w:left="2936" w:leftChars="1398" w:firstLine="6"/>
        <w:rPr>
          <w:rFonts w:hint="eastAsia" w:ascii="宋体" w:hAnsi="宋体" w:cs="宋体"/>
          <w:b/>
          <w:szCs w:val="21"/>
        </w:rPr>
      </w:pPr>
      <w:r>
        <w:rPr>
          <w:rFonts w:hint="eastAsia" w:ascii="宋体" w:hAnsi="宋体" w:cs="宋体"/>
          <w:b/>
          <w:szCs w:val="21"/>
        </w:rPr>
        <w:t>法定地址与送达方式</w:t>
      </w:r>
    </w:p>
    <w:p w14:paraId="5EDA5D97">
      <w:pPr>
        <w:numPr>
          <w:ilvl w:val="1"/>
          <w:numId w:val="13"/>
        </w:numPr>
        <w:spacing w:line="300" w:lineRule="auto"/>
        <w:rPr>
          <w:rFonts w:hint="eastAsia" w:ascii="宋体" w:hAnsi="宋体" w:cs="宋体"/>
          <w:szCs w:val="21"/>
        </w:rPr>
      </w:pPr>
      <w:r>
        <w:rPr>
          <w:rFonts w:hint="eastAsia" w:ascii="宋体" w:hAnsi="宋体" w:cs="宋体"/>
          <w:szCs w:val="21"/>
        </w:rPr>
        <w:t>甲方：</w:t>
      </w:r>
    </w:p>
    <w:p w14:paraId="7A4544D1">
      <w:pPr>
        <w:spacing w:line="300" w:lineRule="auto"/>
        <w:ind w:firstLine="873" w:firstLineChars="416"/>
        <w:rPr>
          <w:rFonts w:hint="eastAsia" w:ascii="宋体" w:hAnsi="宋体" w:cs="宋体"/>
          <w:szCs w:val="21"/>
        </w:rPr>
      </w:pPr>
      <w:r>
        <w:rPr>
          <w:rFonts w:hint="eastAsia" w:ascii="宋体" w:hAnsi="宋体" w:cs="宋体"/>
          <w:szCs w:val="21"/>
        </w:rPr>
        <w:t>公司名称：加西贝拉压缩机有限公司</w:t>
      </w:r>
    </w:p>
    <w:p w14:paraId="4E6DF365">
      <w:pPr>
        <w:spacing w:line="300" w:lineRule="auto"/>
        <w:ind w:firstLine="873" w:firstLineChars="416"/>
        <w:rPr>
          <w:rFonts w:hint="eastAsia" w:ascii="宋体" w:hAnsi="宋体" w:cs="宋体"/>
          <w:szCs w:val="21"/>
        </w:rPr>
      </w:pPr>
      <w:r>
        <w:rPr>
          <w:rFonts w:hint="eastAsia" w:ascii="宋体" w:hAnsi="宋体" w:cs="宋体"/>
          <w:szCs w:val="21"/>
        </w:rPr>
        <w:t>统一社会信用代码：91330411609101012K</w:t>
      </w:r>
    </w:p>
    <w:p w14:paraId="6B1F5210">
      <w:pPr>
        <w:spacing w:line="300" w:lineRule="auto"/>
        <w:ind w:firstLine="873" w:firstLineChars="416"/>
        <w:rPr>
          <w:rFonts w:hint="eastAsia" w:ascii="宋体" w:hAnsi="宋体" w:cs="宋体"/>
          <w:szCs w:val="21"/>
        </w:rPr>
      </w:pPr>
      <w:r>
        <w:rPr>
          <w:rFonts w:hint="eastAsia" w:ascii="宋体" w:hAnsi="宋体" w:cs="宋体"/>
          <w:szCs w:val="21"/>
        </w:rPr>
        <w:t>法定代表人：杨秀彪</w:t>
      </w:r>
    </w:p>
    <w:p w14:paraId="2B9C30FE">
      <w:pPr>
        <w:pStyle w:val="19"/>
        <w:widowControl w:val="0"/>
        <w:spacing w:line="300" w:lineRule="auto"/>
        <w:ind w:firstLine="877" w:firstLineChars="416"/>
        <w:rPr>
          <w:rFonts w:hint="eastAsia" w:ascii="宋体" w:hAnsi="宋体" w:cs="宋体"/>
          <w:sz w:val="21"/>
          <w:szCs w:val="21"/>
        </w:rPr>
      </w:pPr>
      <w:r>
        <w:rPr>
          <w:rFonts w:hint="eastAsia" w:ascii="宋体" w:hAnsi="宋体" w:cs="宋体"/>
          <w:sz w:val="21"/>
          <w:szCs w:val="21"/>
        </w:rPr>
        <w:t>地址：浙江省嘉兴市南湖区亚中路588号   邮编：314006</w:t>
      </w:r>
    </w:p>
    <w:p w14:paraId="22103972">
      <w:pPr>
        <w:pStyle w:val="19"/>
        <w:widowControl w:val="0"/>
        <w:spacing w:line="300" w:lineRule="auto"/>
        <w:ind w:firstLine="877" w:firstLineChars="416"/>
        <w:rPr>
          <w:rFonts w:hint="eastAsia" w:ascii="宋体" w:hAnsi="宋体" w:cs="宋体"/>
          <w:sz w:val="21"/>
          <w:szCs w:val="21"/>
        </w:rPr>
      </w:pPr>
      <w:r>
        <w:rPr>
          <w:rFonts w:hint="eastAsia" w:ascii="宋体" w:hAnsi="宋体" w:cs="宋体"/>
          <w:sz w:val="21"/>
          <w:szCs w:val="21"/>
        </w:rPr>
        <w:t xml:space="preserve">电话：0573-8286 1626                   传真：0573-8258 6181    </w:t>
      </w:r>
    </w:p>
    <w:p w14:paraId="63789497">
      <w:pPr>
        <w:pStyle w:val="19"/>
        <w:widowControl w:val="0"/>
        <w:spacing w:line="300" w:lineRule="auto"/>
        <w:ind w:firstLine="877" w:firstLineChars="416"/>
        <w:rPr>
          <w:rFonts w:hint="eastAsia" w:ascii="宋体" w:hAnsi="宋体" w:cs="宋体"/>
          <w:bCs/>
          <w:sz w:val="21"/>
          <w:szCs w:val="21"/>
          <w:u w:val="single"/>
        </w:rPr>
      </w:pPr>
      <w:r>
        <w:rPr>
          <w:rFonts w:hint="eastAsia" w:ascii="宋体" w:hAnsi="宋体" w:cs="宋体"/>
          <w:sz w:val="21"/>
          <w:szCs w:val="21"/>
        </w:rPr>
        <w:t>手机：</w:t>
      </w:r>
      <w:r>
        <w:rPr>
          <w:rFonts w:hint="eastAsia" w:ascii="宋体" w:hAnsi="宋体" w:cs="宋体"/>
          <w:bCs/>
          <w:sz w:val="21"/>
          <w:szCs w:val="21"/>
          <w:u w:val="single"/>
        </w:rPr>
        <w:t>15957322378</w:t>
      </w:r>
    </w:p>
    <w:p w14:paraId="23E95E51">
      <w:pPr>
        <w:pStyle w:val="19"/>
        <w:widowControl w:val="0"/>
        <w:spacing w:line="300" w:lineRule="auto"/>
        <w:ind w:firstLine="877" w:firstLineChars="416"/>
        <w:rPr>
          <w:rFonts w:hint="eastAsia" w:ascii="宋体" w:hAnsi="宋体" w:cs="宋体"/>
          <w:bCs/>
          <w:sz w:val="21"/>
          <w:szCs w:val="21"/>
          <w:u w:val="single"/>
        </w:rPr>
      </w:pPr>
      <w:r>
        <w:rPr>
          <w:rFonts w:hint="eastAsia" w:ascii="宋体" w:hAnsi="宋体" w:cs="宋体"/>
          <w:sz w:val="21"/>
          <w:szCs w:val="21"/>
        </w:rPr>
        <w:t>邮箱：</w:t>
      </w:r>
      <w:r>
        <w:rPr>
          <w:rFonts w:hint="eastAsia" w:ascii="宋体" w:hAnsi="宋体" w:cs="宋体"/>
          <w:bCs/>
          <w:sz w:val="21"/>
          <w:szCs w:val="21"/>
          <w:u w:val="single"/>
        </w:rPr>
        <w:t>hhh7800@163.com</w:t>
      </w:r>
    </w:p>
    <w:p w14:paraId="4AD40DC3">
      <w:pPr>
        <w:pStyle w:val="19"/>
        <w:widowControl w:val="0"/>
        <w:spacing w:line="300" w:lineRule="auto"/>
        <w:ind w:firstLine="877" w:firstLineChars="416"/>
        <w:rPr>
          <w:rFonts w:hint="eastAsia" w:ascii="宋体" w:hAnsi="宋体" w:cs="宋体"/>
          <w:sz w:val="21"/>
          <w:szCs w:val="21"/>
        </w:rPr>
      </w:pPr>
      <w:r>
        <w:rPr>
          <w:rFonts w:hint="eastAsia" w:ascii="宋体" w:hAnsi="宋体" w:cs="宋体"/>
          <w:sz w:val="21"/>
          <w:szCs w:val="21"/>
        </w:rPr>
        <w:t>本合同授权代表：</w:t>
      </w:r>
      <w:r>
        <w:rPr>
          <w:rFonts w:hint="eastAsia" w:ascii="宋体" w:hAnsi="宋体" w:cs="宋体"/>
          <w:bCs/>
          <w:sz w:val="21"/>
          <w:szCs w:val="21"/>
          <w:u w:val="single"/>
        </w:rPr>
        <w:t>黄洪和</w:t>
      </w:r>
    </w:p>
    <w:p w14:paraId="4420BE7E">
      <w:pPr>
        <w:numPr>
          <w:ilvl w:val="1"/>
          <w:numId w:val="13"/>
        </w:numPr>
        <w:spacing w:line="300" w:lineRule="auto"/>
        <w:rPr>
          <w:rFonts w:hint="eastAsia" w:ascii="宋体" w:hAnsi="宋体" w:cs="宋体"/>
          <w:szCs w:val="21"/>
        </w:rPr>
      </w:pPr>
      <w:r>
        <w:rPr>
          <w:rFonts w:hint="eastAsia" w:ascii="宋体" w:hAnsi="宋体" w:cs="宋体"/>
          <w:szCs w:val="21"/>
        </w:rPr>
        <w:t>乙方：</w:t>
      </w:r>
    </w:p>
    <w:p w14:paraId="3738BAA5">
      <w:pPr>
        <w:pStyle w:val="19"/>
        <w:widowControl w:val="0"/>
        <w:spacing w:line="300" w:lineRule="auto"/>
        <w:ind w:firstLine="877" w:firstLineChars="416"/>
        <w:rPr>
          <w:rFonts w:hint="eastAsia" w:ascii="宋体" w:hAnsi="宋体" w:cs="宋体"/>
          <w:sz w:val="21"/>
          <w:szCs w:val="21"/>
        </w:rPr>
      </w:pPr>
      <w:r>
        <w:rPr>
          <w:rFonts w:hint="eastAsia" w:ascii="宋体" w:hAnsi="宋体" w:cs="宋体"/>
          <w:sz w:val="21"/>
          <w:szCs w:val="21"/>
        </w:rPr>
        <w:t>公司名称：</w:t>
      </w:r>
    </w:p>
    <w:p w14:paraId="165D21BD">
      <w:pPr>
        <w:spacing w:line="300" w:lineRule="auto"/>
        <w:ind w:firstLine="873" w:firstLineChars="416"/>
        <w:rPr>
          <w:rFonts w:hint="eastAsia" w:ascii="宋体" w:hAnsi="宋体" w:cs="宋体"/>
          <w:szCs w:val="21"/>
        </w:rPr>
      </w:pPr>
      <w:r>
        <w:rPr>
          <w:rFonts w:hint="eastAsia" w:ascii="宋体" w:hAnsi="宋体" w:cs="宋体"/>
          <w:szCs w:val="21"/>
        </w:rPr>
        <w:t>统一社会信用代码：</w:t>
      </w:r>
    </w:p>
    <w:p w14:paraId="0DE40251">
      <w:pPr>
        <w:spacing w:line="300" w:lineRule="auto"/>
        <w:ind w:firstLine="873" w:firstLineChars="416"/>
        <w:rPr>
          <w:rFonts w:hint="eastAsia" w:ascii="宋体" w:hAnsi="宋体" w:cs="宋体"/>
          <w:szCs w:val="21"/>
        </w:rPr>
      </w:pPr>
      <w:r>
        <w:rPr>
          <w:rFonts w:hint="eastAsia" w:ascii="宋体" w:hAnsi="宋体" w:cs="宋体"/>
          <w:szCs w:val="21"/>
        </w:rPr>
        <w:t>法定代表人：</w:t>
      </w:r>
    </w:p>
    <w:p w14:paraId="7F3988CE">
      <w:pPr>
        <w:pStyle w:val="19"/>
        <w:widowControl w:val="0"/>
        <w:spacing w:line="300" w:lineRule="auto"/>
        <w:ind w:firstLine="877" w:firstLineChars="416"/>
        <w:rPr>
          <w:rFonts w:hint="eastAsia" w:ascii="宋体" w:hAnsi="宋体" w:cs="宋体"/>
          <w:sz w:val="21"/>
          <w:szCs w:val="21"/>
        </w:rPr>
      </w:pPr>
      <w:r>
        <w:rPr>
          <w:rFonts w:hint="eastAsia" w:ascii="宋体" w:hAnsi="宋体" w:cs="宋体"/>
          <w:sz w:val="21"/>
          <w:szCs w:val="21"/>
        </w:rPr>
        <w:t>地址：</w:t>
      </w:r>
    </w:p>
    <w:p w14:paraId="5D424D8E">
      <w:pPr>
        <w:pStyle w:val="19"/>
        <w:widowControl w:val="0"/>
        <w:spacing w:line="300" w:lineRule="auto"/>
        <w:ind w:firstLine="877" w:firstLineChars="416"/>
        <w:rPr>
          <w:rFonts w:hint="eastAsia" w:ascii="宋体" w:hAnsi="宋体" w:cs="宋体"/>
          <w:sz w:val="21"/>
          <w:szCs w:val="21"/>
        </w:rPr>
      </w:pPr>
      <w:r>
        <w:rPr>
          <w:rFonts w:hint="eastAsia" w:ascii="宋体" w:hAnsi="宋体" w:cs="宋体"/>
          <w:sz w:val="21"/>
          <w:szCs w:val="21"/>
        </w:rPr>
        <w:t>手机：</w:t>
      </w:r>
    </w:p>
    <w:p w14:paraId="53A63134">
      <w:pPr>
        <w:pStyle w:val="19"/>
        <w:widowControl w:val="0"/>
        <w:spacing w:line="300" w:lineRule="auto"/>
        <w:ind w:firstLine="877" w:firstLineChars="416"/>
        <w:rPr>
          <w:rFonts w:hint="eastAsia" w:ascii="宋体" w:hAnsi="宋体" w:cs="宋体"/>
          <w:sz w:val="21"/>
          <w:szCs w:val="21"/>
        </w:rPr>
      </w:pPr>
      <w:r>
        <w:rPr>
          <w:rFonts w:hint="eastAsia" w:ascii="宋体" w:hAnsi="宋体" w:cs="宋体"/>
          <w:sz w:val="21"/>
          <w:szCs w:val="21"/>
        </w:rPr>
        <w:t>邮箱：</w:t>
      </w:r>
    </w:p>
    <w:p w14:paraId="29BA71F5">
      <w:pPr>
        <w:pStyle w:val="19"/>
        <w:widowControl w:val="0"/>
        <w:spacing w:line="300" w:lineRule="auto"/>
        <w:ind w:firstLine="877" w:firstLineChars="416"/>
        <w:rPr>
          <w:rFonts w:hint="eastAsia" w:ascii="宋体" w:hAnsi="宋体" w:cs="宋体"/>
          <w:sz w:val="21"/>
          <w:szCs w:val="21"/>
        </w:rPr>
      </w:pPr>
      <w:r>
        <w:rPr>
          <w:rFonts w:hint="eastAsia" w:ascii="宋体" w:hAnsi="宋体" w:cs="宋体"/>
          <w:sz w:val="21"/>
          <w:szCs w:val="21"/>
        </w:rPr>
        <w:t>本合同授权代表：</w:t>
      </w:r>
    </w:p>
    <w:p w14:paraId="70B28437">
      <w:pPr>
        <w:numPr>
          <w:ilvl w:val="0"/>
          <w:numId w:val="8"/>
        </w:numPr>
        <w:tabs>
          <w:tab w:val="clear" w:pos="4608"/>
        </w:tabs>
        <w:spacing w:before="156" w:beforeLines="50" w:after="156" w:afterLines="50" w:line="300" w:lineRule="auto"/>
        <w:ind w:left="2936" w:leftChars="1398" w:firstLine="6"/>
        <w:rPr>
          <w:rFonts w:hint="eastAsia" w:ascii="宋体" w:hAnsi="宋体" w:cs="宋体"/>
          <w:b/>
          <w:szCs w:val="21"/>
        </w:rPr>
      </w:pPr>
      <w:r>
        <w:rPr>
          <w:rFonts w:hint="eastAsia" w:ascii="宋体" w:hAnsi="宋体" w:cs="宋体"/>
          <w:b/>
          <w:szCs w:val="21"/>
        </w:rPr>
        <w:t>包装、标记和运输</w:t>
      </w:r>
    </w:p>
    <w:p w14:paraId="0B872560">
      <w:pPr>
        <w:numPr>
          <w:ilvl w:val="1"/>
          <w:numId w:val="14"/>
        </w:numPr>
        <w:spacing w:line="300" w:lineRule="auto"/>
        <w:rPr>
          <w:rFonts w:hint="eastAsia" w:ascii="宋体" w:hAnsi="宋体" w:cs="宋体"/>
          <w:szCs w:val="21"/>
        </w:rPr>
      </w:pPr>
      <w:r>
        <w:rPr>
          <w:rFonts w:hint="eastAsia" w:ascii="宋体" w:hAnsi="宋体" w:cs="宋体"/>
          <w:szCs w:val="21"/>
        </w:rPr>
        <w:t>包装：适合长途的运输，防潮、防湿、防锈耐搬运，包装费用由乙方承担。由于包装不良所发生的损失、采用不充分或不妥善的防护措施而造成的任何锈损，乙方应负担由此而产生的一切费用和损失，且甲方有权视情况要求乙方更换。</w:t>
      </w:r>
    </w:p>
    <w:p w14:paraId="5AB17CDC">
      <w:pPr>
        <w:numPr>
          <w:ilvl w:val="1"/>
          <w:numId w:val="14"/>
        </w:numPr>
        <w:spacing w:line="300" w:lineRule="auto"/>
        <w:rPr>
          <w:rFonts w:hint="eastAsia" w:ascii="宋体" w:hAnsi="宋体" w:cs="宋体"/>
          <w:szCs w:val="21"/>
        </w:rPr>
      </w:pPr>
      <w:r>
        <w:rPr>
          <w:rFonts w:hint="eastAsia" w:ascii="宋体" w:hAnsi="宋体" w:cs="宋体"/>
          <w:szCs w:val="21"/>
        </w:rPr>
        <w:t>标记：乙方应在每件包装上用不褪色的油墨清楚的标刷件号、尺寸、毛重、净重，此端向上小心轻放切勿受潮等字样。</w:t>
      </w:r>
    </w:p>
    <w:p w14:paraId="660FEB79">
      <w:pPr>
        <w:numPr>
          <w:ilvl w:val="1"/>
          <w:numId w:val="14"/>
        </w:numPr>
        <w:spacing w:line="300" w:lineRule="auto"/>
        <w:rPr>
          <w:rFonts w:hint="eastAsia" w:ascii="宋体" w:hAnsi="宋体" w:cs="宋体"/>
          <w:szCs w:val="21"/>
        </w:rPr>
      </w:pPr>
      <w:r>
        <w:rPr>
          <w:rFonts w:hint="eastAsia" w:ascii="宋体" w:hAnsi="宋体" w:cs="宋体"/>
          <w:szCs w:val="21"/>
        </w:rPr>
        <w:t>装运通知：设备装运时，乙方应提前20日通知甲方，以便甲方及时安排接货。</w:t>
      </w:r>
    </w:p>
    <w:p w14:paraId="0BC95BD9">
      <w:pPr>
        <w:numPr>
          <w:ilvl w:val="1"/>
          <w:numId w:val="14"/>
        </w:numPr>
        <w:spacing w:line="300" w:lineRule="auto"/>
        <w:rPr>
          <w:rFonts w:hint="eastAsia" w:ascii="宋体" w:hAnsi="宋体" w:cs="宋体"/>
          <w:szCs w:val="21"/>
        </w:rPr>
      </w:pPr>
      <w:r>
        <w:rPr>
          <w:rFonts w:hint="eastAsia" w:ascii="宋体" w:hAnsi="宋体" w:cs="宋体"/>
          <w:szCs w:val="21"/>
        </w:rPr>
        <w:t>运输方式：由乙方负责运输至甲方指定地点。</w:t>
      </w:r>
    </w:p>
    <w:p w14:paraId="46D553F8">
      <w:pPr>
        <w:numPr>
          <w:ilvl w:val="1"/>
          <w:numId w:val="14"/>
        </w:numPr>
        <w:spacing w:line="300" w:lineRule="auto"/>
        <w:rPr>
          <w:rFonts w:hint="eastAsia" w:ascii="宋体" w:hAnsi="宋体" w:cs="宋体"/>
          <w:szCs w:val="21"/>
        </w:rPr>
      </w:pPr>
      <w:r>
        <w:rPr>
          <w:rFonts w:hint="eastAsia" w:ascii="宋体" w:hAnsi="宋体" w:cs="宋体"/>
          <w:szCs w:val="21"/>
        </w:rPr>
        <w:t>费用：包装费、运杂费、保险费等相关费用由乙方承担。</w:t>
      </w:r>
    </w:p>
    <w:p w14:paraId="01033D85">
      <w:pPr>
        <w:numPr>
          <w:ilvl w:val="0"/>
          <w:numId w:val="8"/>
        </w:numPr>
        <w:tabs>
          <w:tab w:val="clear" w:pos="4608"/>
        </w:tabs>
        <w:spacing w:before="156" w:beforeLines="50" w:after="156" w:afterLines="50" w:line="300" w:lineRule="auto"/>
        <w:ind w:left="2936" w:leftChars="1398" w:firstLine="6"/>
        <w:rPr>
          <w:rFonts w:hint="eastAsia" w:ascii="宋体" w:hAnsi="宋体" w:cs="宋体"/>
          <w:b/>
          <w:szCs w:val="21"/>
        </w:rPr>
      </w:pPr>
      <w:r>
        <w:rPr>
          <w:rFonts w:hint="eastAsia" w:ascii="宋体" w:hAnsi="宋体" w:cs="宋体"/>
          <w:b/>
          <w:szCs w:val="21"/>
        </w:rPr>
        <w:t>保证、索赔与合同变更</w:t>
      </w:r>
    </w:p>
    <w:p w14:paraId="745BC46C">
      <w:pPr>
        <w:numPr>
          <w:ilvl w:val="1"/>
          <w:numId w:val="15"/>
        </w:numPr>
        <w:spacing w:line="300" w:lineRule="auto"/>
        <w:rPr>
          <w:rFonts w:hint="eastAsia" w:ascii="宋体" w:hAnsi="宋体" w:cs="宋体"/>
          <w:szCs w:val="21"/>
        </w:rPr>
      </w:pPr>
      <w:r>
        <w:rPr>
          <w:rFonts w:hint="eastAsia" w:ascii="宋体" w:hAnsi="宋体" w:cs="宋体"/>
          <w:szCs w:val="21"/>
        </w:rPr>
        <w:t>设备的保证期指合同设备签发《终验收纪要》之日起12个月。</w:t>
      </w:r>
    </w:p>
    <w:p w14:paraId="7F8B4A69">
      <w:pPr>
        <w:numPr>
          <w:ilvl w:val="1"/>
          <w:numId w:val="15"/>
        </w:numPr>
        <w:spacing w:line="300" w:lineRule="auto"/>
        <w:rPr>
          <w:rFonts w:hint="eastAsia" w:ascii="宋体" w:hAnsi="宋体" w:cs="宋体"/>
          <w:spacing w:val="4"/>
          <w:szCs w:val="21"/>
        </w:rPr>
      </w:pPr>
      <w:r>
        <w:rPr>
          <w:rFonts w:hint="eastAsia" w:ascii="宋体" w:hAnsi="宋体" w:cs="宋体"/>
          <w:szCs w:val="21"/>
        </w:rPr>
        <w:t>乙方保证其供应本合同的设备是全新的，整套设备的技术水平是先进的</w:t>
      </w:r>
      <w:r>
        <w:rPr>
          <w:rFonts w:hint="eastAsia" w:ascii="宋体" w:hAnsi="宋体" w:cs="宋体"/>
          <w:spacing w:val="4"/>
          <w:szCs w:val="21"/>
        </w:rPr>
        <w:t>、成熟的、质量优良的、完整的、安全可靠的，并且设备符合合同的要求；</w:t>
      </w:r>
      <w:r>
        <w:rPr>
          <w:rFonts w:hint="eastAsia" w:ascii="宋体" w:hAnsi="宋体" w:cs="宋体"/>
          <w:szCs w:val="21"/>
        </w:rPr>
        <w:t>在交货以前，乙方应就设备零部件作出准确和全面的检验，出具设备质量证明书；如发现设备的质量与本合同不符或无论任何原因引起的缺陷（包括内在缺陷或不良零部件），乙方必须更换有瑕疵的零部件，并承担由此产生的一切费用。</w:t>
      </w:r>
    </w:p>
    <w:p w14:paraId="1DB2882C">
      <w:pPr>
        <w:numPr>
          <w:ilvl w:val="1"/>
          <w:numId w:val="15"/>
        </w:numPr>
        <w:spacing w:line="300" w:lineRule="auto"/>
        <w:rPr>
          <w:rFonts w:hint="eastAsia" w:ascii="宋体" w:hAnsi="宋体" w:cs="宋体"/>
          <w:szCs w:val="21"/>
        </w:rPr>
      </w:pPr>
      <w:r>
        <w:rPr>
          <w:rFonts w:hint="eastAsia" w:ascii="宋体" w:hAnsi="宋体" w:cs="宋体"/>
          <w:szCs w:val="21"/>
        </w:rPr>
        <w:t>在保证期内，设备出现故障，乙方接到甲方通知后1天内须做出响应，提出解决方案。若需乙方提供部件，乙方须在10天内发运合格部件；若需乙方到甲方现场解决故障，双方协商后确定，但最迟不超过2周。若乙方不能及时处理，或者情况紧急的，甲方可先行维修或委托第三方维修，且不因此减免乙方的质保义务。保证期间故障维修的具体费用负担及时间延长规则如下：</w:t>
      </w:r>
    </w:p>
    <w:p w14:paraId="651EB45B">
      <w:pPr>
        <w:numPr>
          <w:ilvl w:val="1"/>
          <w:numId w:val="16"/>
        </w:numPr>
        <w:overflowPunct w:val="0"/>
        <w:spacing w:line="300" w:lineRule="auto"/>
        <w:ind w:left="630" w:leftChars="300" w:firstLine="0"/>
        <w:rPr>
          <w:rFonts w:hint="eastAsia" w:ascii="宋体" w:hAnsi="宋体" w:cs="宋体"/>
          <w:spacing w:val="4"/>
          <w:szCs w:val="21"/>
        </w:rPr>
      </w:pPr>
      <w:r>
        <w:rPr>
          <w:rFonts w:hint="eastAsia" w:ascii="宋体" w:hAnsi="宋体" w:cs="宋体"/>
          <w:spacing w:val="4"/>
          <w:szCs w:val="21"/>
        </w:rPr>
        <w:t>故障原因是甲方责任，相关费用由甲方负担。</w:t>
      </w:r>
    </w:p>
    <w:p w14:paraId="65FA05FC">
      <w:pPr>
        <w:numPr>
          <w:ilvl w:val="1"/>
          <w:numId w:val="16"/>
        </w:numPr>
        <w:overflowPunct w:val="0"/>
        <w:spacing w:line="300" w:lineRule="auto"/>
        <w:ind w:left="630" w:leftChars="300" w:firstLine="0"/>
        <w:rPr>
          <w:rFonts w:hint="eastAsia" w:ascii="宋体" w:hAnsi="宋体" w:cs="宋体"/>
          <w:spacing w:val="4"/>
          <w:szCs w:val="21"/>
        </w:rPr>
      </w:pPr>
      <w:r>
        <w:rPr>
          <w:rFonts w:hint="eastAsia" w:ascii="宋体" w:hAnsi="宋体" w:cs="宋体"/>
          <w:spacing w:val="4"/>
          <w:szCs w:val="21"/>
        </w:rPr>
        <w:t>故障原因是乙方责任，相关费用由乙方负担，保证期则相应按实际修理或更换所延误的时间做相应的延长。</w:t>
      </w:r>
    </w:p>
    <w:p w14:paraId="43C48936">
      <w:pPr>
        <w:numPr>
          <w:ilvl w:val="1"/>
          <w:numId w:val="15"/>
        </w:numPr>
        <w:spacing w:line="300" w:lineRule="auto"/>
        <w:rPr>
          <w:rFonts w:hint="eastAsia" w:ascii="宋体" w:hAnsi="宋体" w:cs="宋体"/>
          <w:szCs w:val="21"/>
        </w:rPr>
      </w:pPr>
      <w:r>
        <w:rPr>
          <w:rFonts w:hint="eastAsia" w:ascii="宋体" w:hAnsi="宋体" w:cs="宋体"/>
          <w:szCs w:val="21"/>
        </w:rPr>
        <w:t>如果不是由于甲方原因或甲方要求推迟交货而乙方未能按本合同交货期交货时（不可抗力除外）甲方有权按下列比例向乙方收取违约金：</w:t>
      </w:r>
    </w:p>
    <w:p w14:paraId="65D0AF56">
      <w:pPr>
        <w:numPr>
          <w:ilvl w:val="1"/>
          <w:numId w:val="17"/>
        </w:numPr>
        <w:tabs>
          <w:tab w:val="clear" w:pos="840"/>
        </w:tabs>
        <w:overflowPunct w:val="0"/>
        <w:spacing w:line="300" w:lineRule="auto"/>
        <w:ind w:left="630" w:leftChars="300" w:firstLine="0"/>
        <w:rPr>
          <w:rFonts w:hint="eastAsia" w:ascii="宋体" w:hAnsi="宋体" w:cs="宋体"/>
          <w:spacing w:val="4"/>
          <w:szCs w:val="21"/>
        </w:rPr>
      </w:pPr>
      <w:r>
        <w:rPr>
          <w:rFonts w:hint="eastAsia" w:ascii="宋体" w:hAnsi="宋体" w:cs="宋体"/>
          <w:spacing w:val="4"/>
          <w:szCs w:val="21"/>
        </w:rPr>
        <w:t>迟交1-2周，每周违约金金额为迟交货物金额的0.5%；不满一周按一周计算。</w:t>
      </w:r>
    </w:p>
    <w:p w14:paraId="11E36477">
      <w:pPr>
        <w:numPr>
          <w:ilvl w:val="1"/>
          <w:numId w:val="17"/>
        </w:numPr>
        <w:tabs>
          <w:tab w:val="clear" w:pos="840"/>
        </w:tabs>
        <w:overflowPunct w:val="0"/>
        <w:spacing w:line="300" w:lineRule="auto"/>
        <w:ind w:left="630" w:leftChars="300" w:firstLine="0"/>
        <w:rPr>
          <w:rFonts w:hint="eastAsia" w:ascii="宋体" w:hAnsi="宋体" w:cs="宋体"/>
          <w:spacing w:val="4"/>
          <w:szCs w:val="21"/>
        </w:rPr>
      </w:pPr>
      <w:r>
        <w:rPr>
          <w:rFonts w:hint="eastAsia" w:ascii="宋体" w:hAnsi="宋体" w:cs="宋体"/>
          <w:spacing w:val="4"/>
          <w:szCs w:val="21"/>
        </w:rPr>
        <w:t>迟交2周以上部分，每周违约金金额为迟交货物金额的1%；不满一周按一周计算。</w:t>
      </w:r>
    </w:p>
    <w:p w14:paraId="5B91E41F">
      <w:pPr>
        <w:numPr>
          <w:ilvl w:val="1"/>
          <w:numId w:val="17"/>
        </w:numPr>
        <w:tabs>
          <w:tab w:val="clear" w:pos="840"/>
        </w:tabs>
        <w:overflowPunct w:val="0"/>
        <w:spacing w:line="300" w:lineRule="auto"/>
        <w:ind w:left="630" w:leftChars="300" w:firstLine="0"/>
        <w:rPr>
          <w:rFonts w:hint="eastAsia" w:ascii="宋体" w:hAnsi="宋体" w:cs="宋体"/>
          <w:spacing w:val="4"/>
          <w:szCs w:val="21"/>
        </w:rPr>
      </w:pPr>
      <w:r>
        <w:rPr>
          <w:rFonts w:hint="eastAsia" w:ascii="宋体" w:hAnsi="宋体" w:cs="宋体"/>
          <w:spacing w:val="4"/>
          <w:szCs w:val="21"/>
        </w:rPr>
        <w:t>因乙方原因超过8周仍不能交货，甲方有权解除合同，乙方应</w:t>
      </w:r>
      <w:r>
        <w:rPr>
          <w:rFonts w:hint="eastAsia" w:ascii="宋体" w:hAnsi="宋体" w:cs="宋体"/>
          <w:szCs w:val="21"/>
        </w:rPr>
        <w:t>在【30】个工作日内</w:t>
      </w:r>
      <w:r>
        <w:rPr>
          <w:rFonts w:hint="eastAsia" w:ascii="宋体" w:hAnsi="宋体" w:cs="宋体"/>
          <w:spacing w:val="4"/>
          <w:szCs w:val="21"/>
        </w:rPr>
        <w:t>退回甲方已付款项并向甲方偿付违约金，违约金为合同总价的10%，违约金未能弥补甲方全部损失的由乙方补足。</w:t>
      </w:r>
    </w:p>
    <w:p w14:paraId="06E970A0">
      <w:pPr>
        <w:numPr>
          <w:ilvl w:val="1"/>
          <w:numId w:val="15"/>
        </w:numPr>
        <w:spacing w:line="300" w:lineRule="auto"/>
        <w:rPr>
          <w:rFonts w:hint="eastAsia" w:ascii="宋体" w:hAnsi="宋体" w:cs="宋体"/>
          <w:szCs w:val="21"/>
        </w:rPr>
      </w:pPr>
      <w:r>
        <w:rPr>
          <w:rFonts w:hint="eastAsia" w:ascii="宋体" w:hAnsi="宋体" w:cs="宋体"/>
          <w:szCs w:val="21"/>
        </w:rPr>
        <w:t>因乙方原因未能如期完成安装调试的（不可抗力除外），甲方有权按下列比例向乙方收取违约金：</w:t>
      </w:r>
    </w:p>
    <w:p w14:paraId="44926B2A">
      <w:pPr>
        <w:numPr>
          <w:ilvl w:val="1"/>
          <w:numId w:val="18"/>
        </w:numPr>
        <w:tabs>
          <w:tab w:val="clear" w:pos="840"/>
        </w:tabs>
        <w:overflowPunct w:val="0"/>
        <w:spacing w:line="300" w:lineRule="auto"/>
        <w:ind w:left="630" w:leftChars="300" w:firstLine="0"/>
        <w:rPr>
          <w:rFonts w:hint="eastAsia" w:ascii="宋体" w:hAnsi="宋体" w:cs="宋体"/>
          <w:spacing w:val="4"/>
          <w:szCs w:val="21"/>
        </w:rPr>
      </w:pPr>
      <w:r>
        <w:rPr>
          <w:rFonts w:hint="eastAsia" w:ascii="宋体" w:hAnsi="宋体" w:cs="宋体"/>
          <w:spacing w:val="4"/>
          <w:szCs w:val="21"/>
        </w:rPr>
        <w:t>延期1-2周完成的，每周违约金金额为合同金额的0.5%；不满一周按一周计算。</w:t>
      </w:r>
    </w:p>
    <w:p w14:paraId="4025F736">
      <w:pPr>
        <w:numPr>
          <w:ilvl w:val="1"/>
          <w:numId w:val="18"/>
        </w:numPr>
        <w:tabs>
          <w:tab w:val="clear" w:pos="840"/>
        </w:tabs>
        <w:overflowPunct w:val="0"/>
        <w:spacing w:line="300" w:lineRule="auto"/>
        <w:ind w:left="630" w:leftChars="300" w:firstLine="0"/>
        <w:rPr>
          <w:rFonts w:hint="eastAsia" w:ascii="宋体" w:hAnsi="宋体" w:cs="宋体"/>
          <w:spacing w:val="4"/>
          <w:szCs w:val="21"/>
        </w:rPr>
      </w:pPr>
      <w:r>
        <w:rPr>
          <w:rFonts w:hint="eastAsia" w:ascii="宋体" w:hAnsi="宋体" w:cs="宋体"/>
          <w:spacing w:val="4"/>
          <w:szCs w:val="21"/>
        </w:rPr>
        <w:t>延期2周以上完成的，2周以上部分每周违约金金额为合同金额的1%；不满一周按一周计算。</w:t>
      </w:r>
    </w:p>
    <w:p w14:paraId="0B899B00">
      <w:pPr>
        <w:pStyle w:val="180"/>
        <w:numPr>
          <w:ilvl w:val="1"/>
          <w:numId w:val="18"/>
        </w:numPr>
        <w:ind w:firstLineChars="0"/>
        <w:rPr>
          <w:rFonts w:hint="eastAsia" w:ascii="宋体" w:hAnsi="宋体" w:cs="宋体"/>
          <w:spacing w:val="4"/>
          <w:szCs w:val="21"/>
        </w:rPr>
      </w:pPr>
      <w:r>
        <w:rPr>
          <w:rFonts w:hint="eastAsia" w:ascii="宋体" w:hAnsi="宋体" w:cs="宋体"/>
          <w:spacing w:val="4"/>
          <w:szCs w:val="21"/>
        </w:rPr>
        <w:t>因乙方原因超过8周仍未安装调试完成，甲方有权解除合同，乙方应</w:t>
      </w:r>
      <w:r>
        <w:rPr>
          <w:rFonts w:hint="eastAsia" w:ascii="宋体" w:hAnsi="宋体" w:cs="宋体"/>
          <w:szCs w:val="21"/>
        </w:rPr>
        <w:t>在【30】个工作日内</w:t>
      </w:r>
      <w:r>
        <w:rPr>
          <w:rFonts w:hint="eastAsia" w:ascii="宋体" w:hAnsi="宋体" w:cs="宋体"/>
          <w:spacing w:val="4"/>
          <w:szCs w:val="21"/>
        </w:rPr>
        <w:t>退回甲方已付款项并向甲方偿付违约金，违约金为合同总价的10%，违约金未能弥补甲方全部损失的由乙方补足。</w:t>
      </w:r>
    </w:p>
    <w:p w14:paraId="390C144F">
      <w:pPr>
        <w:numPr>
          <w:ilvl w:val="1"/>
          <w:numId w:val="15"/>
        </w:numPr>
        <w:spacing w:line="300" w:lineRule="auto"/>
        <w:rPr>
          <w:rFonts w:hint="eastAsia" w:ascii="宋体" w:hAnsi="宋体" w:cs="宋体"/>
          <w:szCs w:val="21"/>
        </w:rPr>
      </w:pPr>
      <w:r>
        <w:rPr>
          <w:rFonts w:hint="eastAsia" w:ascii="宋体" w:hAnsi="宋体" w:cs="宋体"/>
          <w:szCs w:val="21"/>
        </w:rPr>
        <w:t>因乙方原因第一次最终验收不通过的（不可抗力除外），乙方必须在20～60天内完成整改并通知甲方再次组织最终验收；如再不通过最终验收的（不可抗力除外），甲方有权解除合同，乙方应在【30】个工作日内退回甲方已付款项并按下列比例向乙方收取违约金：</w:t>
      </w:r>
    </w:p>
    <w:p w14:paraId="1F73F537">
      <w:pPr>
        <w:numPr>
          <w:ilvl w:val="1"/>
          <w:numId w:val="19"/>
        </w:numPr>
        <w:tabs>
          <w:tab w:val="clear" w:pos="840"/>
        </w:tabs>
        <w:overflowPunct w:val="0"/>
        <w:spacing w:line="300" w:lineRule="auto"/>
        <w:ind w:left="630" w:leftChars="300" w:firstLine="0"/>
        <w:rPr>
          <w:rFonts w:hint="eastAsia" w:ascii="宋体" w:hAnsi="宋体" w:cs="宋体"/>
          <w:spacing w:val="4"/>
          <w:szCs w:val="21"/>
        </w:rPr>
      </w:pPr>
      <w:r>
        <w:rPr>
          <w:rFonts w:hint="eastAsia" w:ascii="宋体" w:hAnsi="宋体" w:cs="宋体"/>
          <w:spacing w:val="4"/>
          <w:szCs w:val="21"/>
        </w:rPr>
        <w:t>从约定的终验收之日起计算违约金。</w:t>
      </w:r>
    </w:p>
    <w:p w14:paraId="3E9302A4">
      <w:pPr>
        <w:numPr>
          <w:ilvl w:val="1"/>
          <w:numId w:val="19"/>
        </w:numPr>
        <w:tabs>
          <w:tab w:val="clear" w:pos="840"/>
        </w:tabs>
        <w:overflowPunct w:val="0"/>
        <w:spacing w:line="300" w:lineRule="auto"/>
        <w:ind w:left="630" w:leftChars="300" w:firstLine="0"/>
        <w:rPr>
          <w:rFonts w:hint="eastAsia" w:ascii="宋体" w:hAnsi="宋体" w:cs="宋体"/>
          <w:spacing w:val="4"/>
          <w:szCs w:val="21"/>
        </w:rPr>
      </w:pPr>
      <w:r>
        <w:rPr>
          <w:rFonts w:hint="eastAsia" w:ascii="宋体" w:hAnsi="宋体" w:cs="宋体"/>
          <w:spacing w:val="4"/>
          <w:szCs w:val="21"/>
        </w:rPr>
        <w:t>延期1-2周完成的，每周违约金金额为合同金额的0.5%；不满一周按一周计算。</w:t>
      </w:r>
    </w:p>
    <w:p w14:paraId="28D9283E">
      <w:pPr>
        <w:numPr>
          <w:ilvl w:val="1"/>
          <w:numId w:val="19"/>
        </w:numPr>
        <w:tabs>
          <w:tab w:val="clear" w:pos="840"/>
        </w:tabs>
        <w:overflowPunct w:val="0"/>
        <w:spacing w:line="300" w:lineRule="auto"/>
        <w:ind w:left="630" w:leftChars="300" w:firstLine="0"/>
        <w:rPr>
          <w:rFonts w:hint="eastAsia" w:ascii="宋体" w:hAnsi="宋体" w:cs="宋体"/>
          <w:spacing w:val="4"/>
          <w:szCs w:val="21"/>
        </w:rPr>
      </w:pPr>
      <w:r>
        <w:rPr>
          <w:rFonts w:hint="eastAsia" w:ascii="宋体" w:hAnsi="宋体" w:cs="宋体"/>
          <w:spacing w:val="4"/>
          <w:szCs w:val="21"/>
        </w:rPr>
        <w:t>延期2周以上时间完成的，2周以上部分按每周违约金金额为合同金额的1%；不满一周按一周计算。</w:t>
      </w:r>
    </w:p>
    <w:p w14:paraId="2DE9A41F">
      <w:pPr>
        <w:numPr>
          <w:ilvl w:val="1"/>
          <w:numId w:val="15"/>
        </w:numPr>
        <w:spacing w:line="300" w:lineRule="auto"/>
        <w:rPr>
          <w:rFonts w:hint="eastAsia" w:ascii="宋体" w:hAnsi="宋体" w:cs="宋体"/>
          <w:szCs w:val="21"/>
        </w:rPr>
      </w:pPr>
      <w:r>
        <w:rPr>
          <w:rFonts w:hint="eastAsia" w:ascii="宋体" w:hAnsi="宋体" w:cs="宋体"/>
          <w:szCs w:val="21"/>
        </w:rPr>
        <w:t>乙方支付违约金并不解除按合同应由乙方承担的相应义务。</w:t>
      </w:r>
    </w:p>
    <w:p w14:paraId="774A0BAE">
      <w:pPr>
        <w:numPr>
          <w:ilvl w:val="1"/>
          <w:numId w:val="15"/>
        </w:numPr>
        <w:spacing w:line="300" w:lineRule="auto"/>
        <w:rPr>
          <w:rFonts w:hint="eastAsia" w:ascii="宋体" w:hAnsi="宋体" w:cs="宋体"/>
          <w:szCs w:val="21"/>
        </w:rPr>
      </w:pPr>
      <w:r>
        <w:rPr>
          <w:rFonts w:hint="eastAsia" w:ascii="宋体" w:hAnsi="宋体" w:cs="宋体"/>
          <w:szCs w:val="21"/>
        </w:rPr>
        <w:t>乙方在设备制作过程中设备配件不准以旧充新，不准使用假冒伪劣品牌。一经发现，甲方有权向乙方收取合同总额的10%作为违约金，乙方应当立即整改，如不整改，甲方有权解除合同并要求乙方退回甲方已付款项，造成甲方或第三方损失的由乙方承担。</w:t>
      </w:r>
    </w:p>
    <w:p w14:paraId="6EAF0AEB">
      <w:pPr>
        <w:numPr>
          <w:ilvl w:val="1"/>
          <w:numId w:val="15"/>
        </w:numPr>
        <w:spacing w:line="300" w:lineRule="auto"/>
        <w:rPr>
          <w:rFonts w:hint="eastAsia" w:ascii="宋体" w:hAnsi="宋体" w:cs="宋体"/>
          <w:spacing w:val="4"/>
          <w:szCs w:val="21"/>
        </w:rPr>
      </w:pPr>
      <w:r>
        <w:rPr>
          <w:rFonts w:hint="eastAsia" w:ascii="宋体" w:hAnsi="宋体" w:cs="宋体"/>
          <w:szCs w:val="21"/>
        </w:rPr>
        <w:t>本合</w:t>
      </w:r>
      <w:r>
        <w:rPr>
          <w:rFonts w:hint="eastAsia" w:ascii="宋体" w:hAnsi="宋体" w:cs="宋体"/>
          <w:spacing w:val="4"/>
          <w:szCs w:val="21"/>
        </w:rPr>
        <w:t>同一经生效，合同双方均不得擅自对本合同的内容（包括附件）做任何单方的修改。但任何一方均可以对合同内容以书面形式提出变更、修改、取消或补充的建议。协议或备忘录签订前需按甲方《合同管理制度》审批流程审批。</w:t>
      </w:r>
    </w:p>
    <w:p w14:paraId="4C42CB30">
      <w:pPr>
        <w:numPr>
          <w:ilvl w:val="1"/>
          <w:numId w:val="15"/>
        </w:numPr>
        <w:spacing w:line="300" w:lineRule="auto"/>
        <w:rPr>
          <w:rFonts w:hint="eastAsia" w:ascii="宋体" w:hAnsi="宋体" w:cs="宋体"/>
          <w:spacing w:val="4"/>
          <w:szCs w:val="21"/>
        </w:rPr>
      </w:pPr>
      <w:r>
        <w:rPr>
          <w:rFonts w:hint="eastAsia" w:ascii="宋体" w:hAnsi="宋体" w:cs="宋体"/>
          <w:spacing w:val="4"/>
          <w:szCs w:val="21"/>
        </w:rPr>
        <w:t>本合同所称甲方损失均包括但不限于甲方直接损失、预期利益损失、给第三方的赔偿、诉讼费、仲裁费、保全费、保全担保费、律师费、鉴定费、公告费、差旅费等。</w:t>
      </w:r>
    </w:p>
    <w:p w14:paraId="3979C6FB">
      <w:pPr>
        <w:numPr>
          <w:ilvl w:val="0"/>
          <w:numId w:val="8"/>
        </w:numPr>
        <w:tabs>
          <w:tab w:val="clear" w:pos="4608"/>
        </w:tabs>
        <w:spacing w:before="156" w:beforeLines="50" w:after="156" w:afterLines="50" w:line="300" w:lineRule="auto"/>
        <w:ind w:left="2936" w:leftChars="1398" w:firstLine="6"/>
        <w:rPr>
          <w:rFonts w:hint="eastAsia" w:ascii="宋体" w:hAnsi="宋体" w:cs="宋体"/>
          <w:b/>
          <w:szCs w:val="21"/>
        </w:rPr>
      </w:pPr>
      <w:r>
        <w:rPr>
          <w:rFonts w:hint="eastAsia" w:ascii="宋体" w:hAnsi="宋体" w:cs="宋体"/>
          <w:b/>
          <w:szCs w:val="21"/>
        </w:rPr>
        <w:t>安装、调试和验收、培训</w:t>
      </w:r>
    </w:p>
    <w:p w14:paraId="0FD35D29">
      <w:pPr>
        <w:numPr>
          <w:ilvl w:val="1"/>
          <w:numId w:val="20"/>
        </w:numPr>
        <w:spacing w:line="300" w:lineRule="auto"/>
        <w:rPr>
          <w:rFonts w:hint="eastAsia" w:ascii="宋体" w:hAnsi="宋体" w:cs="宋体"/>
          <w:szCs w:val="21"/>
        </w:rPr>
      </w:pPr>
      <w:r>
        <w:rPr>
          <w:rFonts w:hint="eastAsia" w:ascii="宋体" w:hAnsi="宋体" w:cs="宋体"/>
          <w:szCs w:val="21"/>
        </w:rPr>
        <w:t>图纸会审</w:t>
      </w:r>
    </w:p>
    <w:p w14:paraId="3AA9966E">
      <w:pPr>
        <w:numPr>
          <w:ilvl w:val="2"/>
          <w:numId w:val="20"/>
        </w:numPr>
        <w:spacing w:line="300" w:lineRule="auto"/>
        <w:ind w:left="609" w:hanging="9"/>
        <w:rPr>
          <w:rFonts w:hint="eastAsia" w:ascii="宋体" w:hAnsi="宋体" w:cs="宋体"/>
          <w:szCs w:val="21"/>
        </w:rPr>
      </w:pPr>
      <w:r>
        <w:rPr>
          <w:rFonts w:hint="eastAsia" w:ascii="宋体" w:hAnsi="宋体" w:cs="宋体"/>
          <w:szCs w:val="21"/>
        </w:rPr>
        <w:t>乙方完成图纸设计后，通知甲方进行图纸会审，双方约定时间进行图纸会审。</w:t>
      </w:r>
    </w:p>
    <w:p w14:paraId="16FCDE11">
      <w:pPr>
        <w:numPr>
          <w:ilvl w:val="2"/>
          <w:numId w:val="20"/>
        </w:numPr>
        <w:spacing w:line="300" w:lineRule="auto"/>
        <w:ind w:left="609" w:hanging="9"/>
        <w:rPr>
          <w:rFonts w:hint="eastAsia" w:ascii="宋体" w:hAnsi="宋体" w:cs="宋体"/>
          <w:szCs w:val="21"/>
        </w:rPr>
      </w:pPr>
      <w:r>
        <w:rPr>
          <w:rFonts w:hint="eastAsia" w:ascii="宋体" w:hAnsi="宋体" w:cs="宋体"/>
          <w:szCs w:val="21"/>
        </w:rPr>
        <w:t>图纸会审通过后，乙方才能投入制造。</w:t>
      </w:r>
    </w:p>
    <w:p w14:paraId="7DDFFF6C">
      <w:pPr>
        <w:numPr>
          <w:ilvl w:val="2"/>
          <w:numId w:val="20"/>
        </w:numPr>
        <w:spacing w:line="300" w:lineRule="auto"/>
        <w:ind w:left="609" w:hanging="9"/>
        <w:rPr>
          <w:rFonts w:hint="eastAsia" w:ascii="宋体" w:hAnsi="宋体" w:cs="宋体"/>
          <w:szCs w:val="21"/>
        </w:rPr>
      </w:pPr>
      <w:r>
        <w:rPr>
          <w:rFonts w:hint="eastAsia" w:ascii="宋体" w:hAnsi="宋体" w:cs="宋体"/>
          <w:szCs w:val="21"/>
        </w:rPr>
        <w:t>图纸会审通过后，乙方尽快提供设备的安装示意图，以便甲方进行场地、冷却水源、气源及电源等的准备工作。</w:t>
      </w:r>
    </w:p>
    <w:p w14:paraId="1556DCDB">
      <w:pPr>
        <w:numPr>
          <w:ilvl w:val="1"/>
          <w:numId w:val="20"/>
        </w:numPr>
        <w:spacing w:line="300" w:lineRule="auto"/>
        <w:rPr>
          <w:rFonts w:hint="eastAsia" w:ascii="宋体" w:hAnsi="宋体" w:cs="宋体"/>
          <w:szCs w:val="21"/>
        </w:rPr>
      </w:pPr>
      <w:r>
        <w:rPr>
          <w:rFonts w:hint="eastAsia" w:ascii="宋体" w:hAnsi="宋体" w:cs="宋体"/>
          <w:szCs w:val="21"/>
        </w:rPr>
        <w:t>设备制造期间，乙方应每【30】个工作日向甲方提供制造进度及制造质量等情况，同时甲方有权到乙方制造现场进行检查；对制造过程中产生的问题，双方协商解决。</w:t>
      </w:r>
    </w:p>
    <w:p w14:paraId="40637288">
      <w:pPr>
        <w:numPr>
          <w:ilvl w:val="1"/>
          <w:numId w:val="20"/>
        </w:numPr>
        <w:spacing w:line="300" w:lineRule="auto"/>
        <w:rPr>
          <w:rFonts w:hint="eastAsia" w:ascii="宋体" w:hAnsi="宋体" w:cs="宋体"/>
          <w:szCs w:val="21"/>
        </w:rPr>
      </w:pPr>
      <w:r>
        <w:rPr>
          <w:rFonts w:hint="eastAsia" w:ascii="宋体" w:hAnsi="宋体" w:cs="宋体"/>
          <w:szCs w:val="21"/>
        </w:rPr>
        <w:t>设备的安装、调试：</w:t>
      </w:r>
    </w:p>
    <w:p w14:paraId="422DB55B">
      <w:pPr>
        <w:numPr>
          <w:ilvl w:val="2"/>
          <w:numId w:val="20"/>
        </w:numPr>
        <w:spacing w:line="300" w:lineRule="auto"/>
        <w:ind w:left="600" w:firstLine="0"/>
        <w:rPr>
          <w:rFonts w:hint="eastAsia" w:ascii="宋体" w:hAnsi="宋体" w:cs="宋体"/>
          <w:szCs w:val="21"/>
        </w:rPr>
      </w:pPr>
      <w:r>
        <w:rPr>
          <w:rFonts w:hint="eastAsia" w:ascii="宋体" w:hAnsi="宋体" w:cs="宋体"/>
          <w:szCs w:val="21"/>
        </w:rPr>
        <w:t>乙方技术人员赴甲方公司安装调试设备。</w:t>
      </w:r>
    </w:p>
    <w:p w14:paraId="6E9337C0">
      <w:pPr>
        <w:numPr>
          <w:ilvl w:val="2"/>
          <w:numId w:val="20"/>
        </w:numPr>
        <w:spacing w:line="300" w:lineRule="auto"/>
        <w:ind w:left="600" w:firstLine="0"/>
        <w:rPr>
          <w:rFonts w:hint="eastAsia" w:ascii="宋体" w:hAnsi="宋体" w:cs="宋体"/>
          <w:szCs w:val="21"/>
        </w:rPr>
      </w:pPr>
      <w:r>
        <w:rPr>
          <w:rFonts w:hint="eastAsia" w:ascii="宋体" w:hAnsi="宋体" w:cs="宋体"/>
          <w:szCs w:val="21"/>
        </w:rPr>
        <w:t>乙方技术人员安装调试设备，甲方人员予以配合。设备在甲方配合下由乙方负责就位，乙方负责安装调试，动力线、气（汽）源、水（冷却水、去离子水）源由甲方人员接到设备号统一接口处，二次分配和分支由乙方负责。</w:t>
      </w:r>
    </w:p>
    <w:p w14:paraId="20CEBCD5">
      <w:pPr>
        <w:numPr>
          <w:ilvl w:val="2"/>
          <w:numId w:val="20"/>
        </w:numPr>
        <w:spacing w:line="300" w:lineRule="auto"/>
        <w:ind w:left="600" w:firstLine="0"/>
        <w:rPr>
          <w:rFonts w:hint="eastAsia" w:ascii="宋体" w:hAnsi="宋体" w:cs="宋体"/>
          <w:szCs w:val="21"/>
        </w:rPr>
      </w:pPr>
      <w:r>
        <w:rPr>
          <w:rFonts w:hint="eastAsia" w:ascii="宋体" w:hAnsi="宋体" w:cs="宋体"/>
          <w:szCs w:val="21"/>
        </w:rPr>
        <w:t>安装完成后，双方授权代表认为安装工作完全符合设计要求时，才可按合同规定进行调试和试车。</w:t>
      </w:r>
    </w:p>
    <w:p w14:paraId="362F096D">
      <w:pPr>
        <w:numPr>
          <w:ilvl w:val="2"/>
          <w:numId w:val="20"/>
        </w:numPr>
        <w:spacing w:line="300" w:lineRule="auto"/>
        <w:ind w:left="600" w:firstLine="0"/>
        <w:rPr>
          <w:rFonts w:hint="eastAsia" w:ascii="宋体" w:hAnsi="宋体" w:cs="宋体"/>
          <w:szCs w:val="21"/>
        </w:rPr>
      </w:pPr>
      <w:r>
        <w:rPr>
          <w:rFonts w:hint="eastAsia" w:ascii="宋体" w:hAnsi="宋体" w:cs="宋体"/>
          <w:szCs w:val="21"/>
        </w:rPr>
        <w:t>设备调试应在乙方组织下由乙方技术人员进行，甲方人员予以配合。</w:t>
      </w:r>
    </w:p>
    <w:p w14:paraId="45897077">
      <w:pPr>
        <w:numPr>
          <w:ilvl w:val="2"/>
          <w:numId w:val="20"/>
        </w:numPr>
        <w:spacing w:line="300" w:lineRule="auto"/>
        <w:ind w:left="600" w:firstLine="0"/>
        <w:rPr>
          <w:rFonts w:hint="eastAsia" w:ascii="宋体" w:hAnsi="宋体" w:cs="宋体"/>
          <w:szCs w:val="21"/>
        </w:rPr>
      </w:pPr>
      <w:r>
        <w:rPr>
          <w:rFonts w:hint="eastAsia" w:ascii="宋体" w:hAnsi="宋体" w:cs="宋体"/>
          <w:szCs w:val="21"/>
        </w:rPr>
        <w:t>设备调试结束后，设备移交给甲方，由培训合格的甲方人员操作。</w:t>
      </w:r>
    </w:p>
    <w:p w14:paraId="44AC6537">
      <w:pPr>
        <w:numPr>
          <w:ilvl w:val="1"/>
          <w:numId w:val="20"/>
        </w:numPr>
        <w:spacing w:line="300" w:lineRule="auto"/>
        <w:rPr>
          <w:rFonts w:hint="eastAsia" w:ascii="宋体" w:hAnsi="宋体" w:cs="宋体"/>
          <w:szCs w:val="21"/>
        </w:rPr>
      </w:pPr>
      <w:r>
        <w:rPr>
          <w:rFonts w:hint="eastAsia" w:ascii="宋体" w:hAnsi="宋体" w:cs="宋体"/>
          <w:szCs w:val="21"/>
        </w:rPr>
        <w:t>设备的预验收、最终验收</w:t>
      </w:r>
    </w:p>
    <w:p w14:paraId="24B3BC9C">
      <w:pPr>
        <w:numPr>
          <w:ilvl w:val="2"/>
          <w:numId w:val="20"/>
        </w:numPr>
        <w:spacing w:line="300" w:lineRule="auto"/>
        <w:ind w:left="609" w:hanging="9"/>
        <w:rPr>
          <w:rFonts w:hint="eastAsia" w:ascii="宋体" w:hAnsi="宋体" w:cs="宋体"/>
          <w:szCs w:val="21"/>
        </w:rPr>
      </w:pPr>
      <w:r>
        <w:rPr>
          <w:rFonts w:hint="eastAsia" w:ascii="宋体" w:hAnsi="宋体" w:cs="宋体"/>
          <w:szCs w:val="21"/>
        </w:rPr>
        <w:t>设备的预验收在乙方公司完成，最终验收在甲方工厂完成。</w:t>
      </w:r>
    </w:p>
    <w:p w14:paraId="1E57670B">
      <w:pPr>
        <w:numPr>
          <w:ilvl w:val="2"/>
          <w:numId w:val="20"/>
        </w:numPr>
        <w:spacing w:line="300" w:lineRule="auto"/>
        <w:ind w:left="609" w:hanging="9"/>
        <w:rPr>
          <w:rFonts w:hint="eastAsia" w:ascii="宋体" w:hAnsi="宋体" w:cs="宋体"/>
          <w:szCs w:val="21"/>
        </w:rPr>
      </w:pPr>
      <w:r>
        <w:rPr>
          <w:rFonts w:hint="eastAsia" w:ascii="宋体" w:hAnsi="宋体" w:cs="宋体"/>
          <w:szCs w:val="21"/>
        </w:rPr>
        <w:t>设备的外观和部件无损坏、无缺陷。</w:t>
      </w:r>
    </w:p>
    <w:p w14:paraId="1A18D795">
      <w:pPr>
        <w:numPr>
          <w:ilvl w:val="2"/>
          <w:numId w:val="20"/>
        </w:numPr>
        <w:spacing w:line="300" w:lineRule="auto"/>
        <w:ind w:left="609" w:hanging="9"/>
        <w:rPr>
          <w:rFonts w:hint="eastAsia" w:ascii="宋体" w:hAnsi="宋体" w:cs="宋体"/>
          <w:szCs w:val="21"/>
        </w:rPr>
      </w:pPr>
      <w:r>
        <w:rPr>
          <w:rFonts w:hint="eastAsia" w:ascii="宋体" w:hAnsi="宋体" w:cs="宋体"/>
          <w:szCs w:val="21"/>
        </w:rPr>
        <w:t>预验收标准：设备部件完好、齐全，能够开机运转。</w:t>
      </w:r>
    </w:p>
    <w:p w14:paraId="461326A7">
      <w:pPr>
        <w:numPr>
          <w:ilvl w:val="2"/>
          <w:numId w:val="20"/>
        </w:numPr>
        <w:spacing w:line="300" w:lineRule="auto"/>
        <w:ind w:left="609" w:hanging="9"/>
        <w:rPr>
          <w:rFonts w:hint="eastAsia" w:ascii="宋体" w:hAnsi="宋体" w:cs="宋体"/>
          <w:szCs w:val="21"/>
        </w:rPr>
      </w:pPr>
      <w:r>
        <w:rPr>
          <w:rFonts w:hint="eastAsia" w:ascii="宋体" w:hAnsi="宋体" w:cs="宋体"/>
          <w:szCs w:val="21"/>
        </w:rPr>
        <w:t>最终验收考核标准：详见技术协议。</w:t>
      </w:r>
    </w:p>
    <w:p w14:paraId="67BE9EFF">
      <w:pPr>
        <w:numPr>
          <w:ilvl w:val="2"/>
          <w:numId w:val="20"/>
        </w:numPr>
        <w:spacing w:line="300" w:lineRule="auto"/>
        <w:ind w:left="609" w:hanging="9"/>
        <w:rPr>
          <w:rFonts w:hint="eastAsia" w:ascii="宋体" w:hAnsi="宋体" w:cs="宋体"/>
          <w:szCs w:val="21"/>
        </w:rPr>
      </w:pPr>
      <w:r>
        <w:rPr>
          <w:rFonts w:hint="eastAsia" w:ascii="宋体" w:hAnsi="宋体" w:cs="宋体"/>
          <w:szCs w:val="21"/>
        </w:rPr>
        <w:t>若在考核期内出现机械故障、电气故障等问题，致使设备重新调整，考核需在对设备重新调整的基础上重新进行。</w:t>
      </w:r>
    </w:p>
    <w:p w14:paraId="16E67DAC">
      <w:pPr>
        <w:numPr>
          <w:ilvl w:val="2"/>
          <w:numId w:val="20"/>
        </w:numPr>
        <w:spacing w:line="300" w:lineRule="auto"/>
        <w:ind w:left="609" w:hanging="9"/>
        <w:rPr>
          <w:rFonts w:hint="eastAsia" w:ascii="宋体" w:hAnsi="宋体" w:cs="宋体"/>
          <w:szCs w:val="21"/>
        </w:rPr>
      </w:pPr>
      <w:r>
        <w:rPr>
          <w:rFonts w:hint="eastAsia" w:ascii="宋体" w:hAnsi="宋体" w:cs="宋体"/>
          <w:szCs w:val="21"/>
        </w:rPr>
        <w:t>考核过程中设备的操作由乙方人员承担，亦可由经乙方培训合格的甲方人员承担。</w:t>
      </w:r>
    </w:p>
    <w:p w14:paraId="236FEB94">
      <w:pPr>
        <w:numPr>
          <w:ilvl w:val="2"/>
          <w:numId w:val="20"/>
        </w:numPr>
        <w:spacing w:line="300" w:lineRule="auto"/>
        <w:ind w:left="609" w:hanging="9"/>
        <w:rPr>
          <w:rFonts w:hint="eastAsia" w:ascii="宋体" w:hAnsi="宋体" w:cs="宋体"/>
          <w:szCs w:val="21"/>
        </w:rPr>
      </w:pPr>
      <w:r>
        <w:rPr>
          <w:rFonts w:hint="eastAsia" w:ascii="宋体" w:hAnsi="宋体" w:cs="宋体"/>
          <w:szCs w:val="21"/>
        </w:rPr>
        <w:t>最终验收的内容全部满足本合同规定，双方授权代表应签署设备《终验收纪要》一式四份，双方各执二份。</w:t>
      </w:r>
    </w:p>
    <w:p w14:paraId="17AD5A2B">
      <w:pPr>
        <w:numPr>
          <w:ilvl w:val="1"/>
          <w:numId w:val="20"/>
        </w:numPr>
        <w:spacing w:line="300" w:lineRule="auto"/>
        <w:rPr>
          <w:rFonts w:hint="eastAsia" w:ascii="宋体" w:hAnsi="宋体" w:cs="宋体"/>
          <w:szCs w:val="21"/>
        </w:rPr>
      </w:pPr>
      <w:r>
        <w:rPr>
          <w:rFonts w:hint="eastAsia" w:ascii="宋体" w:hAnsi="宋体" w:cs="宋体"/>
          <w:szCs w:val="21"/>
        </w:rPr>
        <w:t>乙方技术人员应对甲方人员进行设备的操作和维修等方面的技术培训，直到甲方人员掌握为止。</w:t>
      </w:r>
    </w:p>
    <w:p w14:paraId="7068EF72">
      <w:pPr>
        <w:numPr>
          <w:ilvl w:val="0"/>
          <w:numId w:val="8"/>
        </w:numPr>
        <w:tabs>
          <w:tab w:val="clear" w:pos="4608"/>
        </w:tabs>
        <w:spacing w:before="156" w:beforeLines="50" w:after="156" w:afterLines="50" w:line="300" w:lineRule="auto"/>
        <w:ind w:left="2936" w:leftChars="1398" w:firstLine="6"/>
        <w:rPr>
          <w:rFonts w:hint="eastAsia" w:ascii="宋体" w:hAnsi="宋体" w:cs="宋体"/>
          <w:b/>
          <w:szCs w:val="21"/>
        </w:rPr>
      </w:pPr>
      <w:r>
        <w:rPr>
          <w:rFonts w:hint="eastAsia" w:ascii="宋体" w:hAnsi="宋体" w:cs="宋体"/>
          <w:b/>
          <w:szCs w:val="21"/>
        </w:rPr>
        <w:t>不可抗力</w:t>
      </w:r>
    </w:p>
    <w:p w14:paraId="04B6E1BA">
      <w:pPr>
        <w:numPr>
          <w:ilvl w:val="1"/>
          <w:numId w:val="21"/>
        </w:numPr>
        <w:spacing w:line="300" w:lineRule="auto"/>
        <w:rPr>
          <w:rFonts w:hint="eastAsia" w:ascii="宋体" w:hAnsi="宋体" w:cs="宋体"/>
          <w:szCs w:val="21"/>
        </w:rPr>
      </w:pPr>
      <w:r>
        <w:rPr>
          <w:rFonts w:hint="eastAsia" w:ascii="宋体" w:hAnsi="宋体" w:cs="宋体"/>
          <w:szCs w:val="21"/>
        </w:rPr>
        <w:t>由于不可抗力事件导致乙方交货延迟或不能交货时，责任不在乙方，但乙方应在事件发生后立即将事故电告甲方，并于事故发生后十五日内将事故发生地政府主管机关出具的事故证明书用快件寄交甲方为证，并取得甲方认可。在上述情况下，乙方仍负有采取一切必要的措施从速交货的责任，并双方协商确定交货时间。若再次延迟交货，按《六、保证、索赔与合同变更》项执行。若乙方在不可抗力事件发生前已存在违约行为，则应依据合同条款或相关法律规定，继续承担相应的违约责任。</w:t>
      </w:r>
    </w:p>
    <w:p w14:paraId="76FE530A">
      <w:pPr>
        <w:numPr>
          <w:ilvl w:val="0"/>
          <w:numId w:val="8"/>
        </w:numPr>
        <w:tabs>
          <w:tab w:val="clear" w:pos="4608"/>
        </w:tabs>
        <w:spacing w:before="156" w:beforeLines="50" w:after="156" w:afterLines="50" w:line="300" w:lineRule="auto"/>
        <w:ind w:left="2936" w:leftChars="1398" w:firstLine="6"/>
        <w:rPr>
          <w:rFonts w:hint="eastAsia" w:ascii="宋体" w:hAnsi="宋体" w:cs="宋体"/>
          <w:b/>
          <w:szCs w:val="21"/>
        </w:rPr>
      </w:pPr>
      <w:r>
        <w:rPr>
          <w:rFonts w:hint="eastAsia" w:ascii="宋体" w:hAnsi="宋体" w:cs="宋体"/>
          <w:b/>
          <w:szCs w:val="21"/>
        </w:rPr>
        <w:t>争议解决</w:t>
      </w:r>
    </w:p>
    <w:p w14:paraId="15C4A8DC">
      <w:pPr>
        <w:numPr>
          <w:ilvl w:val="1"/>
          <w:numId w:val="22"/>
        </w:numPr>
        <w:spacing w:line="300" w:lineRule="auto"/>
        <w:rPr>
          <w:rFonts w:hint="eastAsia" w:ascii="宋体" w:hAnsi="宋体" w:cs="宋体"/>
          <w:szCs w:val="21"/>
        </w:rPr>
      </w:pPr>
      <w:r>
        <w:rPr>
          <w:rFonts w:hint="eastAsia" w:ascii="宋体" w:hAnsi="宋体" w:cs="宋体"/>
          <w:szCs w:val="21"/>
        </w:rPr>
        <w:t>凡有关本合同或执行本合同而发生的一切争执，双方应通过友好方式协商解决，如不能解决，则应向甲方所在地有管辖权的人民法院起诉。</w:t>
      </w:r>
    </w:p>
    <w:p w14:paraId="348ECE13">
      <w:pPr>
        <w:numPr>
          <w:ilvl w:val="0"/>
          <w:numId w:val="8"/>
        </w:numPr>
        <w:tabs>
          <w:tab w:val="clear" w:pos="4608"/>
        </w:tabs>
        <w:spacing w:before="156" w:beforeLines="50" w:after="156" w:afterLines="50" w:line="300" w:lineRule="auto"/>
        <w:ind w:left="2936" w:leftChars="1398" w:firstLine="6"/>
        <w:rPr>
          <w:rFonts w:hint="eastAsia" w:ascii="宋体" w:hAnsi="宋体" w:cs="宋体"/>
          <w:b/>
          <w:szCs w:val="21"/>
        </w:rPr>
      </w:pPr>
      <w:r>
        <w:rPr>
          <w:rFonts w:hint="eastAsia" w:ascii="宋体" w:hAnsi="宋体" w:cs="宋体"/>
          <w:b/>
          <w:szCs w:val="21"/>
        </w:rPr>
        <w:t>社会责任</w:t>
      </w:r>
    </w:p>
    <w:p w14:paraId="658473AF">
      <w:pPr>
        <w:numPr>
          <w:ilvl w:val="1"/>
          <w:numId w:val="23"/>
        </w:numPr>
        <w:spacing w:line="300" w:lineRule="auto"/>
        <w:rPr>
          <w:rFonts w:hint="eastAsia" w:ascii="宋体" w:hAnsi="宋体" w:cs="宋体"/>
          <w:szCs w:val="21"/>
        </w:rPr>
      </w:pPr>
      <w:r>
        <w:rPr>
          <w:rFonts w:hint="eastAsia" w:ascii="宋体" w:hAnsi="宋体" w:cs="宋体"/>
          <w:szCs w:val="21"/>
        </w:rPr>
        <w:t>乙方单位在设计制造本合同内容时须遵守有关的法律法规。</w:t>
      </w:r>
    </w:p>
    <w:p w14:paraId="2556F70A">
      <w:pPr>
        <w:numPr>
          <w:ilvl w:val="1"/>
          <w:numId w:val="23"/>
        </w:numPr>
        <w:spacing w:line="300" w:lineRule="auto"/>
        <w:rPr>
          <w:rFonts w:hint="eastAsia" w:ascii="宋体" w:hAnsi="宋体" w:cs="宋体"/>
          <w:szCs w:val="21"/>
        </w:rPr>
      </w:pPr>
      <w:r>
        <w:rPr>
          <w:rFonts w:hint="eastAsia" w:ascii="宋体" w:hAnsi="宋体" w:cs="宋体"/>
          <w:szCs w:val="21"/>
        </w:rPr>
        <w:t>乙方单位提供的产品或服务的质量及安全性符合法律法规和其他要求；建立和实施完善的质量管理制度，对产品或服务的安全与健康问题做到识别、测量、监控、评估、记录、报告与纠正；在产品或服务全生命周期内，对潜在或已发生的产品或服务安全风险采取最积极的纠正措施。积极影响供应链及其他利益相关方共同保护消费者的健康与安全。</w:t>
      </w:r>
    </w:p>
    <w:p w14:paraId="144FF4C8">
      <w:pPr>
        <w:numPr>
          <w:ilvl w:val="1"/>
          <w:numId w:val="23"/>
        </w:numPr>
        <w:spacing w:line="300" w:lineRule="auto"/>
        <w:rPr>
          <w:rFonts w:hint="eastAsia" w:ascii="宋体" w:hAnsi="宋体" w:cs="宋体"/>
          <w:szCs w:val="21"/>
        </w:rPr>
      </w:pPr>
      <w:r>
        <w:rPr>
          <w:rFonts w:hint="eastAsia" w:ascii="宋体" w:hAnsi="宋体" w:cs="宋体"/>
          <w:szCs w:val="21"/>
        </w:rPr>
        <w:t>乙方单位在运行时所选择的供应商应对其经营活动、产品及服务对经济、社会、环境的影响予以关注，具有良好的供应链责任管理制度。</w:t>
      </w:r>
    </w:p>
    <w:p w14:paraId="5A6E4E55">
      <w:pPr>
        <w:numPr>
          <w:ilvl w:val="1"/>
          <w:numId w:val="23"/>
        </w:numPr>
        <w:spacing w:line="300" w:lineRule="auto"/>
        <w:rPr>
          <w:rFonts w:hint="eastAsia" w:ascii="宋体" w:hAnsi="宋体" w:cs="宋体"/>
          <w:szCs w:val="21"/>
        </w:rPr>
      </w:pPr>
      <w:r>
        <w:rPr>
          <w:rFonts w:hint="eastAsia" w:ascii="宋体" w:hAnsi="宋体" w:cs="宋体"/>
          <w:szCs w:val="21"/>
        </w:rPr>
        <w:t>乙方单位在运行时须建立并有效实施环境管理体系，依法依规处理噪声、气味、光污染、震动、电磁辐射、放射物、传染性物质及生物危害等，做到依法依规排放。</w:t>
      </w:r>
    </w:p>
    <w:p w14:paraId="54BFFD20">
      <w:pPr>
        <w:numPr>
          <w:ilvl w:val="1"/>
          <w:numId w:val="23"/>
        </w:numPr>
        <w:spacing w:line="300" w:lineRule="auto"/>
        <w:rPr>
          <w:rFonts w:hint="eastAsia" w:ascii="宋体" w:hAnsi="宋体" w:cs="宋体"/>
          <w:szCs w:val="21"/>
        </w:rPr>
      </w:pPr>
      <w:r>
        <w:rPr>
          <w:rFonts w:hint="eastAsia" w:ascii="宋体" w:hAnsi="宋体" w:cs="宋体"/>
          <w:szCs w:val="21"/>
        </w:rPr>
        <w:t>乙方单位在甲方单位进行安装施工时，需依法依规处理安装施工所产生的所有废弃物，做到依法依规排放。</w:t>
      </w:r>
    </w:p>
    <w:p w14:paraId="645EA431">
      <w:pPr>
        <w:numPr>
          <w:ilvl w:val="1"/>
          <w:numId w:val="23"/>
        </w:numPr>
        <w:spacing w:line="300" w:lineRule="auto"/>
        <w:rPr>
          <w:rFonts w:hint="eastAsia" w:ascii="宋体" w:hAnsi="宋体" w:cs="宋体"/>
          <w:szCs w:val="21"/>
        </w:rPr>
      </w:pPr>
      <w:r>
        <w:rPr>
          <w:rFonts w:hint="eastAsia" w:ascii="宋体" w:hAnsi="宋体" w:cs="宋体"/>
          <w:szCs w:val="21"/>
        </w:rPr>
        <w:t>乙方单位在运行时须建立休假管理制度，确保员工知悉相关制度，执行病假、产假、年休假等国家规定的休息休假制度，向员工提供符合法规要求的加班补偿；乙方单位在运行时须建立严格的招聘程序杜绝童工；乙方单位员工工作时间符合相关法律法规规定，保障劳动者休息及休假的合法权益。</w:t>
      </w:r>
    </w:p>
    <w:p w14:paraId="1DCDD766">
      <w:pPr>
        <w:numPr>
          <w:ilvl w:val="1"/>
          <w:numId w:val="23"/>
        </w:numPr>
        <w:spacing w:line="300" w:lineRule="auto"/>
        <w:rPr>
          <w:rFonts w:hint="eastAsia" w:ascii="宋体" w:hAnsi="宋体" w:cs="宋体"/>
          <w:szCs w:val="21"/>
        </w:rPr>
      </w:pPr>
      <w:r>
        <w:rPr>
          <w:rFonts w:hint="eastAsia" w:ascii="宋体" w:hAnsi="宋体" w:cs="宋体"/>
          <w:szCs w:val="21"/>
        </w:rPr>
        <w:t>乙方设备在安装调试直到设备终验收过程中，由设备本身产生的危害物，需要乙方依法依规自行处置。</w:t>
      </w:r>
    </w:p>
    <w:p w14:paraId="7CCD3799">
      <w:pPr>
        <w:numPr>
          <w:ilvl w:val="0"/>
          <w:numId w:val="8"/>
        </w:numPr>
        <w:tabs>
          <w:tab w:val="clear" w:pos="4608"/>
        </w:tabs>
        <w:spacing w:before="156" w:beforeLines="50" w:after="156" w:afterLines="50" w:line="300" w:lineRule="auto"/>
        <w:ind w:left="2936" w:leftChars="1398" w:firstLine="6"/>
        <w:rPr>
          <w:rFonts w:hint="eastAsia" w:ascii="宋体" w:hAnsi="宋体" w:cs="宋体"/>
          <w:b/>
          <w:szCs w:val="21"/>
        </w:rPr>
      </w:pPr>
      <w:r>
        <w:rPr>
          <w:rFonts w:hint="eastAsia" w:ascii="宋体" w:hAnsi="宋体" w:cs="宋体"/>
          <w:b/>
          <w:szCs w:val="21"/>
        </w:rPr>
        <w:t>反商业贿赂条款</w:t>
      </w:r>
    </w:p>
    <w:p w14:paraId="67DAD6B9">
      <w:pPr>
        <w:numPr>
          <w:ilvl w:val="1"/>
          <w:numId w:val="24"/>
        </w:numPr>
        <w:spacing w:line="300" w:lineRule="auto"/>
        <w:rPr>
          <w:rFonts w:hint="eastAsia" w:ascii="宋体" w:hAnsi="宋体" w:cs="宋体"/>
          <w:szCs w:val="21"/>
        </w:rPr>
      </w:pPr>
      <w:r>
        <w:rPr>
          <w:rFonts w:hint="eastAsia" w:ascii="宋体" w:hAnsi="宋体" w:cs="宋体"/>
          <w:szCs w:val="21"/>
        </w:rPr>
        <w:t>基于本合同的签订以及本合同的监察条款，甲乙双方明确知道甲方禁止甲方工作人员在合同的履行之前、之中、之后通过不正当手段谋取不正当的个人利益等相关制度。</w:t>
      </w:r>
    </w:p>
    <w:p w14:paraId="516C7802">
      <w:pPr>
        <w:numPr>
          <w:ilvl w:val="1"/>
          <w:numId w:val="24"/>
        </w:numPr>
        <w:spacing w:line="300" w:lineRule="auto"/>
        <w:rPr>
          <w:rFonts w:hint="eastAsia" w:ascii="宋体" w:hAnsi="宋体" w:cs="宋体"/>
          <w:szCs w:val="21"/>
        </w:rPr>
      </w:pPr>
      <w:r>
        <w:rPr>
          <w:rFonts w:hint="eastAsia" w:ascii="宋体" w:hAnsi="宋体" w:cs="宋体"/>
          <w:szCs w:val="21"/>
        </w:rPr>
        <w:t>乙方有义务采取有效措施，杜绝其工作人员以公司或私人名义向甲方工作人员私下直接或间接赠送礼金、贵重礼品、有价证券，或采取其他变相手段提供不当利益。如果甲方有证据表明或者认为乙方及其工作人员基于本合同的履行而通过上述不正当手段从甲方谋取了合同之外的直接或间接的经济利益或者因此而造成甲方的合同之外的直接或间接经济损失的，甲方有权停止与乙方的一切合作。乙方及其相关工作人员有义务向甲方说明并配合甲方进行相关查处工作，同时乙方应对由此给甲方造成的直接和间接损失进行双倍赔偿，另外，每发现一次，甲方有权要求乙方向甲方支付不低于10万元人民币的违约金，赔偿金额须在15天内到达甲方指定账户，也可由甲方从其对乙方的应付款中扣除。甲方保留追究乙方法律责任的权利。</w:t>
      </w:r>
    </w:p>
    <w:p w14:paraId="4944C7C8">
      <w:pPr>
        <w:numPr>
          <w:ilvl w:val="1"/>
          <w:numId w:val="24"/>
        </w:numPr>
        <w:spacing w:line="300" w:lineRule="auto"/>
        <w:rPr>
          <w:rFonts w:hint="eastAsia" w:ascii="宋体" w:hAnsi="宋体" w:cs="宋体"/>
          <w:szCs w:val="21"/>
        </w:rPr>
      </w:pPr>
      <w:r>
        <w:rPr>
          <w:rFonts w:hint="eastAsia" w:ascii="宋体" w:hAnsi="宋体" w:cs="宋体"/>
          <w:szCs w:val="21"/>
        </w:rPr>
        <w:t>如果甲方人员私下向乙方或乙方业务人员索贿如：礼金、贵重礼品、有价证券等，乙方有义务拒绝支付并向甲方进行投诉，并提供相关证据给甲方。经甲方查实后作出处理，并为乙方保密。对于乙方的协助，甲方将根据情况给予乙方更多的商业机会。若甲方有证据表明甲方的主管业务人员与乙方的业务人员、高层管理人员、法人或经营者存在亲属关系，而乙方未能主动提前向甲方提出的；甲方有权立即终止与乙方的合作，并保留追究乙方法律责任的权利。</w:t>
      </w:r>
    </w:p>
    <w:p w14:paraId="6EB12270">
      <w:pPr>
        <w:numPr>
          <w:ilvl w:val="1"/>
          <w:numId w:val="24"/>
        </w:numPr>
        <w:spacing w:line="300" w:lineRule="auto"/>
        <w:rPr>
          <w:rFonts w:hint="eastAsia" w:ascii="宋体" w:hAnsi="宋体" w:cs="宋体"/>
          <w:szCs w:val="21"/>
        </w:rPr>
      </w:pPr>
      <w:r>
        <w:rPr>
          <w:rFonts w:hint="eastAsia" w:ascii="宋体" w:hAnsi="宋体" w:cs="宋体"/>
          <w:szCs w:val="21"/>
        </w:rPr>
        <w:t>投诉接收方式：电子邮件：jjjcs@jiaxipera.com；书面信函邮寄地址：浙江省嘉兴市南湖区亚中路588号，加西贝拉压缩机有限公司；收件人：纪委。</w:t>
      </w:r>
    </w:p>
    <w:p w14:paraId="1C831A47">
      <w:pPr>
        <w:numPr>
          <w:ilvl w:val="0"/>
          <w:numId w:val="8"/>
        </w:numPr>
        <w:tabs>
          <w:tab w:val="clear" w:pos="4608"/>
        </w:tabs>
        <w:spacing w:before="156" w:beforeLines="50" w:after="156" w:afterLines="50" w:line="300" w:lineRule="auto"/>
        <w:ind w:left="2936" w:leftChars="1398" w:firstLine="6"/>
        <w:rPr>
          <w:rFonts w:hint="eastAsia" w:ascii="宋体" w:hAnsi="宋体" w:cs="宋体"/>
          <w:b/>
          <w:szCs w:val="21"/>
        </w:rPr>
      </w:pPr>
      <w:r>
        <w:rPr>
          <w:rFonts w:hint="eastAsia" w:ascii="宋体" w:hAnsi="宋体" w:cs="宋体"/>
          <w:b/>
          <w:szCs w:val="21"/>
        </w:rPr>
        <w:t>其他约定事项</w:t>
      </w:r>
    </w:p>
    <w:p w14:paraId="6C93C55F">
      <w:pPr>
        <w:numPr>
          <w:ilvl w:val="1"/>
          <w:numId w:val="25"/>
        </w:numPr>
        <w:spacing w:line="300" w:lineRule="auto"/>
        <w:rPr>
          <w:rFonts w:hint="eastAsia" w:ascii="宋体" w:hAnsi="宋体" w:cs="宋体"/>
          <w:szCs w:val="21"/>
        </w:rPr>
      </w:pPr>
      <w:r>
        <w:rPr>
          <w:rFonts w:hint="eastAsia" w:ascii="宋体" w:hAnsi="宋体" w:cs="宋体"/>
          <w:szCs w:val="21"/>
        </w:rPr>
        <w:t>保密义务：甲方为本合同制造提供的技术要求、工艺方案、图纸、实物等，乙方应做好保管及保密工作，未经甲方同意，不得泄露给第三方。</w:t>
      </w:r>
    </w:p>
    <w:p w14:paraId="7C07B476">
      <w:pPr>
        <w:numPr>
          <w:ilvl w:val="1"/>
          <w:numId w:val="25"/>
        </w:numPr>
        <w:spacing w:line="300" w:lineRule="auto"/>
        <w:rPr>
          <w:rFonts w:hint="eastAsia" w:ascii="宋体" w:hAnsi="宋体" w:cs="宋体"/>
          <w:szCs w:val="21"/>
        </w:rPr>
      </w:pPr>
      <w:r>
        <w:rPr>
          <w:rFonts w:hint="eastAsia" w:ascii="宋体" w:hAnsi="宋体" w:cs="宋体"/>
          <w:szCs w:val="21"/>
        </w:rPr>
        <w:t>能源要求：乙方在设计制造本合同时，禁止使用国家 “高耗能落后机电设备（产品）淘汰目录”内的机电产品，优先使用国家 “节能机电设备（产品）推荐目录”内的机电产品。有能效标识的，选择能效等级一级或者二级产品。</w:t>
      </w:r>
    </w:p>
    <w:p w14:paraId="4EA302E2">
      <w:pPr>
        <w:numPr>
          <w:ilvl w:val="1"/>
          <w:numId w:val="25"/>
        </w:numPr>
        <w:spacing w:line="300" w:lineRule="auto"/>
        <w:rPr>
          <w:rFonts w:hint="eastAsia" w:ascii="宋体" w:hAnsi="宋体" w:cs="宋体"/>
          <w:szCs w:val="21"/>
        </w:rPr>
      </w:pPr>
      <w:r>
        <w:rPr>
          <w:rFonts w:hint="eastAsia" w:ascii="宋体" w:hAnsi="宋体" w:cs="宋体"/>
          <w:szCs w:val="21"/>
        </w:rPr>
        <w:t>知识产权：乙方承诺在本合同设计和制造过程中不侵犯他人知识产权，确保甲方不会因为购买、使用设备而侵犯任何第三方合法权益，如有发生，乙方承担一切由此引发的一切责任和费用，使甲方免于遭受任何损失；双方共同拥有在设备设计和制造过程中产生的技术、设计等知识产权的所有权和使用权。</w:t>
      </w:r>
    </w:p>
    <w:p w14:paraId="5EB28738">
      <w:pPr>
        <w:numPr>
          <w:ilvl w:val="1"/>
          <w:numId w:val="25"/>
        </w:numPr>
        <w:spacing w:line="300" w:lineRule="auto"/>
        <w:rPr>
          <w:rFonts w:hint="eastAsia" w:ascii="宋体" w:hAnsi="宋体" w:cs="宋体"/>
          <w:szCs w:val="21"/>
        </w:rPr>
      </w:pPr>
      <w:r>
        <w:rPr>
          <w:rFonts w:hint="eastAsia" w:ascii="宋体" w:hAnsi="宋体" w:cs="宋体"/>
          <w:szCs w:val="21"/>
        </w:rPr>
        <w:t>在本合同商谈﹑签订和履行过程中， 双方对各自所获悉的有关对方的商业秘密负有保密义务，应妥善采取保密措施，未经对方书面许可，不得向第三方泄露；本合同内容亦属商业秘密，任何一方不得擅自向第三方泄露其内容。</w:t>
      </w:r>
    </w:p>
    <w:p w14:paraId="01FA5780">
      <w:pPr>
        <w:numPr>
          <w:ilvl w:val="1"/>
          <w:numId w:val="25"/>
        </w:numPr>
        <w:spacing w:line="300" w:lineRule="auto"/>
        <w:rPr>
          <w:rFonts w:hint="eastAsia" w:ascii="宋体" w:hAnsi="宋体" w:cs="宋体"/>
          <w:szCs w:val="21"/>
        </w:rPr>
      </w:pPr>
      <w:r>
        <w:rPr>
          <w:rFonts w:hint="eastAsia" w:ascii="宋体" w:hAnsi="宋体" w:cs="宋体"/>
          <w:szCs w:val="21"/>
        </w:rPr>
        <w:t>本设备的甲方招标文件、乙方投标文件作为本合同的附件，与本合同具有相同的法律效力；甲方招标文件、乙方投标文件与本合同及其技术协议有冲突之处，以本合同及其技术协议为准。</w:t>
      </w:r>
    </w:p>
    <w:p w14:paraId="7BFB690B">
      <w:pPr>
        <w:numPr>
          <w:ilvl w:val="1"/>
          <w:numId w:val="25"/>
        </w:numPr>
        <w:spacing w:line="300" w:lineRule="auto"/>
        <w:rPr>
          <w:rFonts w:hint="eastAsia" w:ascii="宋体" w:hAnsi="宋体" w:cs="宋体"/>
          <w:szCs w:val="21"/>
        </w:rPr>
      </w:pPr>
      <w:r>
        <w:rPr>
          <w:rFonts w:hint="eastAsia" w:ascii="宋体" w:hAnsi="宋体" w:cs="宋体"/>
          <w:szCs w:val="21"/>
        </w:rPr>
        <w:t>如乙方违反合同社会责任、反商业贿赂条款和其他约定事项的相关条款，甲方有权延迟付款、拒付余款及要求赔偿。</w:t>
      </w:r>
    </w:p>
    <w:p w14:paraId="76F9B6E4">
      <w:pPr>
        <w:numPr>
          <w:ilvl w:val="1"/>
          <w:numId w:val="25"/>
        </w:numPr>
        <w:spacing w:line="300" w:lineRule="auto"/>
        <w:rPr>
          <w:rFonts w:hint="eastAsia" w:ascii="宋体" w:hAnsi="宋体" w:cs="宋体"/>
          <w:szCs w:val="21"/>
        </w:rPr>
      </w:pPr>
      <w:r>
        <w:rPr>
          <w:rFonts w:hint="eastAsia" w:ascii="宋体" w:hAnsi="宋体" w:cs="宋体"/>
          <w:szCs w:val="21"/>
        </w:rPr>
        <w:t>本合同记载的各方地址、联系人、电话、邮箱（以下合称为“送达方式”），为一方或司法机关向他方送达往来函件或文书的准确有效的送达方式。一方送给他方的函件，除当面送达并由接收方签收的外，均应以快递、电子邮件方式按本协议记载的接收方送达方式发出，并在寄出三个工作日后（或电子邮件发送成功后）视为接收方已收到并知悉函件内容（即使该函件被拒收或退回）。如一方的送达方式发生变化，必须立即书面通知他方，否则按原送达方式送达文件、文书均视为有效送达。</w:t>
      </w:r>
    </w:p>
    <w:p w14:paraId="64EA4F53">
      <w:pPr>
        <w:numPr>
          <w:ilvl w:val="0"/>
          <w:numId w:val="8"/>
        </w:numPr>
        <w:tabs>
          <w:tab w:val="clear" w:pos="4608"/>
        </w:tabs>
        <w:spacing w:before="312" w:beforeLines="100" w:after="312" w:afterLines="100" w:line="300" w:lineRule="auto"/>
        <w:ind w:left="2936" w:leftChars="1398" w:firstLine="6"/>
        <w:rPr>
          <w:rFonts w:hint="eastAsia" w:ascii="宋体" w:hAnsi="宋体" w:cs="宋体"/>
          <w:b/>
          <w:szCs w:val="21"/>
        </w:rPr>
      </w:pPr>
      <w:r>
        <w:rPr>
          <w:rFonts w:hint="eastAsia" w:ascii="宋体" w:hAnsi="宋体" w:cs="宋体"/>
          <w:b/>
          <w:szCs w:val="21"/>
        </w:rPr>
        <w:t>合同的生效及其他</w:t>
      </w:r>
    </w:p>
    <w:p w14:paraId="0BF1FECB">
      <w:pPr>
        <w:numPr>
          <w:ilvl w:val="1"/>
          <w:numId w:val="26"/>
        </w:numPr>
        <w:spacing w:line="300" w:lineRule="auto"/>
        <w:rPr>
          <w:rFonts w:hint="eastAsia" w:ascii="宋体" w:hAnsi="宋体" w:cs="宋体"/>
          <w:szCs w:val="21"/>
        </w:rPr>
      </w:pPr>
      <w:r>
        <w:rPr>
          <w:rFonts w:hint="eastAsia" w:ascii="宋体" w:hAnsi="宋体" w:cs="宋体"/>
          <w:szCs w:val="21"/>
        </w:rPr>
        <w:t>本合同经双方法定代表人或授权代表签字并加盖公章（合同专用章）后，于篇首注明的日期生效。本合同一式四份，甲乙双方各执二份，具有同等法律效力。未尽事宜，双方协商解决，经双方协商一致可签订书面补充合同，补充合同与合同具有同等法律效力。</w:t>
      </w:r>
    </w:p>
    <w:p w14:paraId="5DC86AD7">
      <w:pPr>
        <w:numPr>
          <w:ilvl w:val="1"/>
          <w:numId w:val="26"/>
        </w:numPr>
        <w:spacing w:line="300" w:lineRule="auto"/>
        <w:rPr>
          <w:rFonts w:hint="eastAsia" w:ascii="宋体" w:hAnsi="宋体" w:cs="宋体"/>
          <w:szCs w:val="21"/>
        </w:rPr>
      </w:pPr>
      <w:r>
        <w:rPr>
          <w:rFonts w:hint="eastAsia" w:ascii="宋体" w:hAnsi="宋体" w:cs="宋体"/>
          <w:szCs w:val="21"/>
        </w:rPr>
        <w:t>其他约定事项：</w:t>
      </w:r>
    </w:p>
    <w:tbl>
      <w:tblPr>
        <w:tblStyle w:val="44"/>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2"/>
      </w:tblGrid>
      <w:tr w14:paraId="5C0F2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062" w:type="dxa"/>
            <w:shd w:val="clear" w:color="auto" w:fill="auto"/>
          </w:tcPr>
          <w:p w14:paraId="6CB7A3AD">
            <w:pPr>
              <w:spacing w:line="400" w:lineRule="exact"/>
              <w:rPr>
                <w:rFonts w:hint="eastAsia" w:ascii="宋体" w:hAnsi="宋体" w:cs="宋体"/>
                <w:bCs/>
                <w:szCs w:val="21"/>
              </w:rPr>
            </w:pPr>
          </w:p>
        </w:tc>
      </w:tr>
    </w:tbl>
    <w:p w14:paraId="4B823CEC">
      <w:pPr>
        <w:numPr>
          <w:ilvl w:val="0"/>
          <w:numId w:val="8"/>
        </w:numPr>
        <w:tabs>
          <w:tab w:val="clear" w:pos="4608"/>
        </w:tabs>
        <w:spacing w:before="312" w:beforeLines="100" w:after="312" w:afterLines="100" w:line="300" w:lineRule="auto"/>
        <w:ind w:left="2936" w:leftChars="1398" w:firstLine="6"/>
        <w:rPr>
          <w:rFonts w:hint="eastAsia" w:ascii="宋体" w:hAnsi="宋体" w:cs="宋体"/>
          <w:b/>
          <w:szCs w:val="21"/>
        </w:rPr>
      </w:pPr>
      <w:r>
        <w:rPr>
          <w:rFonts w:hint="eastAsia" w:ascii="宋体" w:hAnsi="宋体" w:cs="宋体"/>
          <w:b/>
          <w:szCs w:val="21"/>
        </w:rPr>
        <w:t>附件</w:t>
      </w:r>
    </w:p>
    <w:p w14:paraId="5E67F9E8">
      <w:pPr>
        <w:numPr>
          <w:ilvl w:val="1"/>
          <w:numId w:val="27"/>
        </w:numPr>
        <w:spacing w:line="300" w:lineRule="auto"/>
        <w:rPr>
          <w:rFonts w:hint="eastAsia" w:ascii="宋体" w:hAnsi="宋体" w:cs="宋体"/>
          <w:szCs w:val="21"/>
        </w:rPr>
      </w:pPr>
      <w:r>
        <w:rPr>
          <w:rFonts w:hint="eastAsia" w:ascii="宋体" w:hAnsi="宋体" w:cs="宋体"/>
          <w:szCs w:val="21"/>
        </w:rPr>
        <w:t>附件可包含《技术要求协议》《技术协议》《廉政合同》《保密协议》等。</w:t>
      </w:r>
    </w:p>
    <w:p w14:paraId="55EB20C2">
      <w:pPr>
        <w:numPr>
          <w:ilvl w:val="1"/>
          <w:numId w:val="27"/>
        </w:numPr>
        <w:spacing w:line="300" w:lineRule="auto"/>
        <w:rPr>
          <w:rFonts w:hint="eastAsia" w:ascii="宋体" w:hAnsi="宋体" w:cs="宋体"/>
          <w:szCs w:val="21"/>
        </w:rPr>
      </w:pPr>
      <w:r>
        <w:rPr>
          <w:rFonts w:hint="eastAsia" w:ascii="宋体" w:hAnsi="宋体" w:cs="宋体"/>
          <w:szCs w:val="21"/>
        </w:rPr>
        <w:t>附件与本合同具有相同法律效力。</w:t>
      </w:r>
    </w:p>
    <w:p w14:paraId="38548666">
      <w:pPr>
        <w:pStyle w:val="19"/>
        <w:widowControl w:val="0"/>
        <w:pBdr>
          <w:bottom w:val="single" w:color="auto" w:sz="4" w:space="0"/>
        </w:pBdr>
        <w:spacing w:line="300" w:lineRule="auto"/>
        <w:ind w:firstLine="422" w:firstLineChars="200"/>
        <w:rPr>
          <w:rFonts w:hint="eastAsia" w:ascii="宋体" w:hAnsi="宋体" w:cs="宋体"/>
          <w:sz w:val="21"/>
          <w:szCs w:val="21"/>
        </w:rPr>
      </w:pPr>
    </w:p>
    <w:p w14:paraId="1DB4BB51">
      <w:pPr>
        <w:rPr>
          <w:rFonts w:hint="eastAsia" w:ascii="宋体" w:hAnsi="宋体" w:cs="宋体"/>
          <w:szCs w:val="21"/>
        </w:rPr>
      </w:pPr>
    </w:p>
    <w:p w14:paraId="3982D81C">
      <w:pPr>
        <w:rPr>
          <w:rFonts w:hint="eastAsia" w:ascii="宋体" w:hAnsi="宋体" w:cs="宋体"/>
          <w:szCs w:val="21"/>
        </w:rPr>
      </w:pPr>
    </w:p>
    <w:p w14:paraId="6BA98129">
      <w:pPr>
        <w:pStyle w:val="19"/>
        <w:widowControl w:val="0"/>
        <w:pBdr>
          <w:bottom w:val="single" w:color="auto" w:sz="4" w:space="0"/>
        </w:pBdr>
        <w:spacing w:line="300" w:lineRule="auto"/>
        <w:ind w:firstLine="422" w:firstLineChars="200"/>
        <w:rPr>
          <w:rFonts w:hint="eastAsia" w:ascii="宋体" w:hAnsi="宋体" w:cs="宋体"/>
          <w:sz w:val="21"/>
          <w:szCs w:val="21"/>
        </w:rPr>
      </w:pPr>
    </w:p>
    <w:p w14:paraId="60CCFDAD">
      <w:pPr>
        <w:rPr>
          <w:rFonts w:hint="eastAsia" w:ascii="宋体" w:hAnsi="宋体" w:cs="宋体"/>
          <w:szCs w:val="21"/>
        </w:rPr>
      </w:pPr>
    </w:p>
    <w:p w14:paraId="332CB263">
      <w:pPr>
        <w:rPr>
          <w:rFonts w:hint="eastAsia" w:ascii="宋体" w:hAnsi="宋体" w:cs="宋体"/>
          <w:szCs w:val="21"/>
        </w:rPr>
      </w:pPr>
    </w:p>
    <w:p w14:paraId="54C43FF4">
      <w:pPr>
        <w:rPr>
          <w:rFonts w:hint="eastAsia" w:ascii="宋体" w:hAnsi="宋体" w:cs="宋体"/>
          <w:szCs w:val="21"/>
        </w:rPr>
      </w:pPr>
    </w:p>
    <w:p w14:paraId="07D65221">
      <w:pPr>
        <w:rPr>
          <w:rFonts w:hint="eastAsia" w:ascii="宋体" w:hAnsi="宋体" w:cs="宋体"/>
          <w:szCs w:val="21"/>
        </w:rPr>
      </w:pPr>
    </w:p>
    <w:p w14:paraId="44197156">
      <w:pPr>
        <w:rPr>
          <w:rFonts w:hint="eastAsia" w:ascii="宋体" w:hAnsi="宋体" w:cs="宋体"/>
          <w:szCs w:val="21"/>
        </w:rPr>
      </w:pPr>
    </w:p>
    <w:p w14:paraId="1F1DD6AC">
      <w:pPr>
        <w:rPr>
          <w:rFonts w:hint="eastAsia" w:ascii="宋体" w:hAnsi="宋体" w:cs="宋体"/>
          <w:szCs w:val="21"/>
        </w:rPr>
      </w:pPr>
    </w:p>
    <w:p w14:paraId="56C14393">
      <w:pPr>
        <w:rPr>
          <w:rFonts w:hint="eastAsia" w:ascii="宋体" w:hAnsi="宋体" w:cs="宋体"/>
          <w:szCs w:val="21"/>
        </w:rPr>
      </w:pPr>
      <w:r>
        <w:rPr>
          <w:rFonts w:hint="eastAsia" w:ascii="宋体" w:hAnsi="宋体" w:cs="宋体"/>
          <w:szCs w:val="21"/>
        </w:rPr>
        <w:t>甲方：加西贝拉压缩机有限公司        乙方：</w:t>
      </w:r>
    </w:p>
    <w:p w14:paraId="4F4A35FE">
      <w:pPr>
        <w:pStyle w:val="19"/>
        <w:widowControl w:val="0"/>
        <w:spacing w:line="300" w:lineRule="auto"/>
        <w:rPr>
          <w:rFonts w:hint="eastAsia" w:ascii="宋体" w:hAnsi="宋体" w:cs="宋体"/>
          <w:sz w:val="21"/>
          <w:szCs w:val="21"/>
        </w:rPr>
      </w:pPr>
      <w:r>
        <w:rPr>
          <w:rFonts w:hint="eastAsia" w:ascii="宋体" w:hAnsi="宋体" w:cs="宋体"/>
          <w:sz w:val="21"/>
          <w:szCs w:val="21"/>
        </w:rPr>
        <w:t>法定代表人或授权代表：              法定代表人或授权代表：</w:t>
      </w:r>
    </w:p>
    <w:p w14:paraId="6D063813">
      <w:pPr>
        <w:spacing w:line="300" w:lineRule="auto"/>
        <w:rPr>
          <w:rFonts w:hint="eastAsia" w:ascii="宋体" w:hAnsi="宋体" w:cs="宋体"/>
          <w:b/>
          <w:bCs/>
          <w:szCs w:val="21"/>
        </w:rPr>
      </w:pPr>
    </w:p>
    <w:p w14:paraId="22A212D6">
      <w:pPr>
        <w:spacing w:line="300" w:lineRule="auto"/>
        <w:rPr>
          <w:rFonts w:hint="eastAsia" w:ascii="宋体" w:hAnsi="宋体" w:cs="宋体"/>
          <w:b/>
          <w:bCs/>
          <w:szCs w:val="21"/>
        </w:rPr>
      </w:pPr>
    </w:p>
    <w:p w14:paraId="3EB95ECE">
      <w:pPr>
        <w:spacing w:line="300" w:lineRule="auto"/>
        <w:rPr>
          <w:rFonts w:hint="eastAsia" w:ascii="宋体" w:hAnsi="宋体" w:cs="宋体"/>
          <w:b/>
          <w:bCs/>
          <w:szCs w:val="21"/>
        </w:rPr>
      </w:pPr>
      <w:r>
        <w:rPr>
          <w:rFonts w:hint="eastAsia" w:ascii="宋体" w:hAnsi="宋体" w:cs="宋体"/>
          <w:b/>
          <w:bCs/>
          <w:szCs w:val="21"/>
        </w:rPr>
        <w:t>签订地点：浙江省嘉兴市             签订时间：      年    月    日</w:t>
      </w:r>
    </w:p>
    <w:p w14:paraId="6876CE1D">
      <w:pPr>
        <w:numPr>
          <w:ilvl w:val="0"/>
          <w:numId w:val="2"/>
        </w:numPr>
        <w:overflowPunct w:val="0"/>
        <w:jc w:val="center"/>
        <w:outlineLvl w:val="0"/>
        <w:rPr>
          <w:rFonts w:hint="eastAsia" w:ascii="宋体" w:hAnsi="宋体" w:cs="宋体"/>
          <w:b/>
          <w:spacing w:val="4"/>
          <w:sz w:val="32"/>
        </w:rPr>
        <w:sectPr>
          <w:footerReference r:id="rId11" w:type="default"/>
          <w:pgSz w:w="11906" w:h="16838"/>
          <w:pgMar w:top="1134" w:right="1134" w:bottom="1134" w:left="1134" w:header="851" w:footer="992" w:gutter="0"/>
          <w:cols w:space="720" w:num="1"/>
          <w:docGrid w:type="lines" w:linePitch="312" w:charSpace="0"/>
        </w:sectPr>
      </w:pPr>
      <w:bookmarkStart w:id="16" w:name="_Toc7158"/>
    </w:p>
    <w:p w14:paraId="30CE211A">
      <w:pPr>
        <w:numPr>
          <w:ilvl w:val="0"/>
          <w:numId w:val="2"/>
        </w:numPr>
        <w:overflowPunct w:val="0"/>
        <w:jc w:val="center"/>
        <w:outlineLvl w:val="0"/>
        <w:rPr>
          <w:rFonts w:hint="eastAsia" w:ascii="宋体" w:hAnsi="宋体" w:cs="宋体"/>
          <w:b/>
          <w:spacing w:val="4"/>
          <w:sz w:val="32"/>
        </w:rPr>
      </w:pPr>
      <w:r>
        <w:rPr>
          <w:rFonts w:hint="eastAsia" w:ascii="宋体" w:hAnsi="宋体" w:cs="宋体"/>
          <w:b/>
          <w:spacing w:val="4"/>
          <w:sz w:val="32"/>
          <w:szCs w:val="32"/>
        </w:rPr>
        <w:t xml:space="preserve"> </w:t>
      </w:r>
      <w:bookmarkStart w:id="17" w:name="_Toc27849"/>
      <w:bookmarkStart w:id="18" w:name="_Toc19523"/>
      <w:bookmarkStart w:id="19" w:name="_Toc6534"/>
      <w:bookmarkStart w:id="20" w:name="_Toc10920"/>
      <w:bookmarkStart w:id="21" w:name="_Toc31146"/>
      <w:bookmarkStart w:id="22" w:name="_Toc3"/>
      <w:bookmarkStart w:id="23" w:name="_Toc17625"/>
      <w:bookmarkStart w:id="24" w:name="_Toc28737"/>
      <w:bookmarkStart w:id="25" w:name="_Toc18096"/>
      <w:r>
        <w:rPr>
          <w:rFonts w:hint="eastAsia" w:ascii="宋体" w:hAnsi="宋体" w:cs="宋体"/>
          <w:b/>
          <w:spacing w:val="4"/>
          <w:sz w:val="32"/>
          <w:szCs w:val="32"/>
        </w:rPr>
        <w:t>技术要</w:t>
      </w:r>
      <w:r>
        <w:rPr>
          <w:rFonts w:hint="eastAsia" w:ascii="宋体" w:hAnsi="宋体" w:cs="宋体"/>
          <w:b/>
          <w:spacing w:val="4"/>
          <w:sz w:val="32"/>
        </w:rPr>
        <w:t>求</w:t>
      </w:r>
      <w:bookmarkEnd w:id="16"/>
      <w:bookmarkEnd w:id="17"/>
      <w:bookmarkEnd w:id="18"/>
      <w:bookmarkEnd w:id="19"/>
      <w:bookmarkEnd w:id="20"/>
      <w:bookmarkEnd w:id="21"/>
      <w:bookmarkEnd w:id="22"/>
      <w:bookmarkEnd w:id="23"/>
      <w:bookmarkEnd w:id="24"/>
      <w:bookmarkEnd w:id="25"/>
    </w:p>
    <w:p w14:paraId="6ED8B1DE">
      <w:pPr>
        <w:numPr>
          <w:ilvl w:val="0"/>
          <w:numId w:val="28"/>
        </w:numPr>
        <w:overflowPunct w:val="0"/>
        <w:rPr>
          <w:rFonts w:hint="eastAsia" w:ascii="宋体" w:hAnsi="宋体" w:cs="宋体"/>
          <w:spacing w:val="4"/>
          <w:szCs w:val="21"/>
        </w:rPr>
      </w:pPr>
      <w:r>
        <w:rPr>
          <w:rFonts w:hint="eastAsia" w:ascii="宋体" w:hAnsi="宋体" w:cs="宋体"/>
          <w:spacing w:val="4"/>
          <w:szCs w:val="21"/>
        </w:rPr>
        <w:t>概述</w:t>
      </w:r>
    </w:p>
    <w:p w14:paraId="3078749B">
      <w:pPr>
        <w:numPr>
          <w:ilvl w:val="1"/>
          <w:numId w:val="28"/>
        </w:numPr>
        <w:overflowPunct w:val="0"/>
        <w:rPr>
          <w:rFonts w:ascii="宋体" w:hAnsi="宋体" w:cs="宋体"/>
          <w:spacing w:val="4"/>
          <w:szCs w:val="21"/>
        </w:rPr>
      </w:pPr>
      <w:r>
        <w:rPr>
          <w:rFonts w:hint="eastAsia" w:ascii="宋体" w:hAnsi="宋体" w:cs="宋体"/>
          <w:spacing w:val="4"/>
          <w:szCs w:val="21"/>
        </w:rPr>
        <w:t>本次招标</w:t>
      </w:r>
      <w:r>
        <w:rPr>
          <w:rFonts w:ascii="宋体" w:hAnsi="宋体" w:cs="宋体"/>
          <w:spacing w:val="4"/>
          <w:szCs w:val="21"/>
        </w:rPr>
        <w:t>采购</w:t>
      </w:r>
      <w:r>
        <w:rPr>
          <w:rFonts w:hint="eastAsia" w:ascii="宋体" w:hAnsi="宋体" w:cs="宋体"/>
          <w:spacing w:val="4"/>
          <w:szCs w:val="21"/>
        </w:rPr>
        <w:t>的设备，投标方应根据招标文件所提出的设备技术规格和服务要求，综合考虑设备的适应性，选择具有最佳性能价格比的设备前来投标。希望投标方以精良的设备、优良的服务和优惠的价格，充分显示你们的竞争实力。</w:t>
      </w:r>
    </w:p>
    <w:p w14:paraId="5A2D2E04">
      <w:pPr>
        <w:numPr>
          <w:ilvl w:val="1"/>
          <w:numId w:val="28"/>
        </w:numPr>
        <w:overflowPunct w:val="0"/>
        <w:rPr>
          <w:rFonts w:ascii="宋体" w:hAnsi="宋体" w:cs="宋体"/>
          <w:spacing w:val="4"/>
          <w:szCs w:val="21"/>
        </w:rPr>
      </w:pPr>
      <w:r>
        <w:rPr>
          <w:rFonts w:hint="eastAsia" w:ascii="宋体" w:hAnsi="宋体" w:cs="宋体"/>
          <w:spacing w:val="4"/>
          <w:szCs w:val="21"/>
        </w:rPr>
        <w:t>第三章技术要求必须逐一完成差异表的对比制作。</w:t>
      </w:r>
    </w:p>
    <w:p w14:paraId="3CDD6954">
      <w:pPr>
        <w:numPr>
          <w:ilvl w:val="1"/>
          <w:numId w:val="28"/>
        </w:numPr>
        <w:overflowPunct w:val="0"/>
        <w:rPr>
          <w:rFonts w:ascii="宋体" w:hAnsi="宋体" w:cs="宋体"/>
          <w:spacing w:val="4"/>
          <w:szCs w:val="21"/>
        </w:rPr>
      </w:pPr>
      <w:r>
        <w:rPr>
          <w:rFonts w:hint="eastAsia" w:ascii="宋体" w:hAnsi="宋体" w:cs="宋体"/>
          <w:spacing w:val="4"/>
          <w:szCs w:val="21"/>
        </w:rPr>
        <w:t>货物需求一览表</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2"/>
        <w:gridCol w:w="753"/>
        <w:gridCol w:w="4390"/>
      </w:tblGrid>
      <w:tr w14:paraId="62E82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797" w:type="dxa"/>
            <w:noWrap/>
            <w:vAlign w:val="center"/>
          </w:tcPr>
          <w:p w14:paraId="3493CDF6">
            <w:pPr>
              <w:jc w:val="center"/>
              <w:rPr>
                <w:rFonts w:ascii="宋体" w:hAnsi="宋体" w:cs="宋体"/>
                <w:sz w:val="18"/>
                <w:szCs w:val="18"/>
              </w:rPr>
            </w:pPr>
            <w:r>
              <w:rPr>
                <w:rFonts w:hint="eastAsia" w:ascii="宋体" w:hAnsi="宋体" w:cs="宋体"/>
                <w:sz w:val="18"/>
                <w:szCs w:val="18"/>
              </w:rPr>
              <w:t>序号</w:t>
            </w:r>
          </w:p>
        </w:tc>
        <w:tc>
          <w:tcPr>
            <w:tcW w:w="3092" w:type="dxa"/>
            <w:noWrap/>
            <w:vAlign w:val="center"/>
          </w:tcPr>
          <w:p w14:paraId="4F1645FA">
            <w:pPr>
              <w:jc w:val="center"/>
              <w:rPr>
                <w:rFonts w:ascii="宋体" w:hAnsi="宋体" w:cs="宋体"/>
                <w:sz w:val="18"/>
                <w:szCs w:val="18"/>
              </w:rPr>
            </w:pPr>
            <w:r>
              <w:rPr>
                <w:rFonts w:hint="eastAsia" w:ascii="宋体" w:hAnsi="宋体" w:cs="宋体"/>
                <w:sz w:val="18"/>
                <w:szCs w:val="18"/>
              </w:rPr>
              <w:t>货物名称</w:t>
            </w:r>
          </w:p>
        </w:tc>
        <w:tc>
          <w:tcPr>
            <w:tcW w:w="753" w:type="dxa"/>
            <w:noWrap/>
            <w:vAlign w:val="center"/>
          </w:tcPr>
          <w:p w14:paraId="35FFAD6B">
            <w:pPr>
              <w:jc w:val="center"/>
              <w:rPr>
                <w:rFonts w:ascii="宋体" w:hAnsi="宋体" w:cs="宋体"/>
                <w:sz w:val="18"/>
                <w:szCs w:val="18"/>
              </w:rPr>
            </w:pPr>
            <w:r>
              <w:rPr>
                <w:rFonts w:hint="eastAsia" w:ascii="宋体" w:hAnsi="宋体" w:cs="宋体"/>
                <w:sz w:val="18"/>
                <w:szCs w:val="18"/>
              </w:rPr>
              <w:t>数量</w:t>
            </w:r>
          </w:p>
        </w:tc>
        <w:tc>
          <w:tcPr>
            <w:tcW w:w="4390" w:type="dxa"/>
            <w:noWrap/>
            <w:vAlign w:val="center"/>
          </w:tcPr>
          <w:p w14:paraId="25C4699C">
            <w:pPr>
              <w:jc w:val="center"/>
              <w:rPr>
                <w:rFonts w:ascii="宋体" w:hAnsi="宋体" w:cs="宋体"/>
                <w:sz w:val="18"/>
                <w:szCs w:val="18"/>
              </w:rPr>
            </w:pPr>
            <w:r>
              <w:rPr>
                <w:rFonts w:hint="eastAsia" w:ascii="宋体" w:hAnsi="宋体" w:cs="宋体"/>
                <w:sz w:val="18"/>
                <w:szCs w:val="18"/>
              </w:rPr>
              <w:t>主要技术规格</w:t>
            </w:r>
          </w:p>
        </w:tc>
      </w:tr>
      <w:tr w14:paraId="62A7D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797" w:type="dxa"/>
            <w:noWrap/>
            <w:vAlign w:val="center"/>
          </w:tcPr>
          <w:p w14:paraId="707208EF">
            <w:pPr>
              <w:jc w:val="center"/>
              <w:rPr>
                <w:rFonts w:ascii="宋体" w:hAnsi="宋体" w:cs="宋体"/>
                <w:sz w:val="18"/>
                <w:szCs w:val="18"/>
              </w:rPr>
            </w:pPr>
            <w:r>
              <w:rPr>
                <w:rFonts w:hint="eastAsia" w:ascii="宋体" w:hAnsi="宋体" w:cs="宋体"/>
                <w:szCs w:val="21"/>
              </w:rPr>
              <w:t>★1</w:t>
            </w:r>
          </w:p>
        </w:tc>
        <w:tc>
          <w:tcPr>
            <w:tcW w:w="3092" w:type="dxa"/>
            <w:noWrap/>
            <w:vAlign w:val="center"/>
          </w:tcPr>
          <w:p w14:paraId="59CB96E0">
            <w:pPr>
              <w:jc w:val="center"/>
              <w:rPr>
                <w:rFonts w:ascii="宋体" w:hAnsi="宋体" w:cs="宋体"/>
                <w:sz w:val="18"/>
                <w:szCs w:val="18"/>
              </w:rPr>
            </w:pPr>
            <w:r>
              <w:rPr>
                <w:rFonts w:hint="eastAsia" w:ascii="宋体" w:hAnsi="宋体" w:cs="宋体"/>
                <w:sz w:val="18"/>
                <w:szCs w:val="18"/>
              </w:rPr>
              <w:t>上支架焊接联线自动化改造（含输送线）</w:t>
            </w:r>
          </w:p>
        </w:tc>
        <w:tc>
          <w:tcPr>
            <w:tcW w:w="753" w:type="dxa"/>
            <w:noWrap/>
            <w:vAlign w:val="center"/>
          </w:tcPr>
          <w:p w14:paraId="442C153F">
            <w:pPr>
              <w:jc w:val="center"/>
              <w:rPr>
                <w:rFonts w:ascii="宋体" w:hAnsi="宋体" w:cs="宋体"/>
                <w:sz w:val="18"/>
                <w:szCs w:val="18"/>
              </w:rPr>
            </w:pPr>
            <w:r>
              <w:rPr>
                <w:rFonts w:hint="eastAsia" w:ascii="宋体" w:hAnsi="宋体" w:cs="宋体"/>
                <w:sz w:val="18"/>
                <w:szCs w:val="18"/>
              </w:rPr>
              <w:t>2套</w:t>
            </w:r>
          </w:p>
        </w:tc>
        <w:tc>
          <w:tcPr>
            <w:tcW w:w="4390" w:type="dxa"/>
            <w:noWrap/>
            <w:vAlign w:val="center"/>
          </w:tcPr>
          <w:p w14:paraId="0433CE11">
            <w:pPr>
              <w:rPr>
                <w:rFonts w:ascii="宋体" w:hAnsi="宋体" w:cs="宋体"/>
                <w:sz w:val="18"/>
                <w:szCs w:val="18"/>
              </w:rPr>
            </w:pPr>
            <w:r>
              <w:rPr>
                <w:rFonts w:hint="eastAsia" w:ascii="宋体" w:hAnsi="宋体" w:cs="宋体"/>
                <w:sz w:val="18"/>
                <w:szCs w:val="18"/>
              </w:rPr>
              <w:t>整线节拍≤2.6秒/件，每台焊机含两套振动料盘，机器人下料</w:t>
            </w:r>
          </w:p>
        </w:tc>
      </w:tr>
      <w:tr w14:paraId="26999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797" w:type="dxa"/>
            <w:shd w:val="clear" w:color="auto" w:fill="auto"/>
            <w:noWrap/>
            <w:vAlign w:val="center"/>
          </w:tcPr>
          <w:p w14:paraId="4D661D62">
            <w:pPr>
              <w:jc w:val="center"/>
              <w:rPr>
                <w:rFonts w:ascii="宋体" w:hAnsi="宋体" w:cs="宋体"/>
                <w:sz w:val="18"/>
                <w:szCs w:val="18"/>
              </w:rPr>
            </w:pPr>
            <w:r>
              <w:rPr>
                <w:rFonts w:hint="eastAsia" w:ascii="宋体" w:hAnsi="宋体" w:cs="宋体"/>
                <w:szCs w:val="21"/>
              </w:rPr>
              <w:t>★</w:t>
            </w:r>
            <w:r>
              <w:rPr>
                <w:rFonts w:hint="eastAsia" w:ascii="宋体" w:hAnsi="宋体" w:cs="宋体"/>
                <w:bCs/>
                <w:sz w:val="18"/>
                <w:szCs w:val="18"/>
              </w:rPr>
              <w:t>2</w:t>
            </w:r>
          </w:p>
        </w:tc>
        <w:tc>
          <w:tcPr>
            <w:tcW w:w="3092" w:type="dxa"/>
            <w:shd w:val="clear" w:color="auto" w:fill="auto"/>
            <w:noWrap/>
            <w:vAlign w:val="center"/>
          </w:tcPr>
          <w:p w14:paraId="03352C06">
            <w:pPr>
              <w:jc w:val="center"/>
              <w:rPr>
                <w:rFonts w:ascii="宋体" w:hAnsi="宋体" w:cs="宋体"/>
                <w:sz w:val="18"/>
                <w:szCs w:val="18"/>
              </w:rPr>
            </w:pPr>
            <w:r>
              <w:rPr>
                <w:rFonts w:hint="eastAsia" w:ascii="宋体" w:hAnsi="宋体" w:cs="宋体"/>
                <w:sz w:val="18"/>
                <w:szCs w:val="18"/>
              </w:rPr>
              <w:t>铜管焊机自动化改造（含输送线）</w:t>
            </w:r>
          </w:p>
        </w:tc>
        <w:tc>
          <w:tcPr>
            <w:tcW w:w="753" w:type="dxa"/>
            <w:shd w:val="clear" w:color="auto" w:fill="auto"/>
            <w:noWrap/>
            <w:vAlign w:val="center"/>
          </w:tcPr>
          <w:p w14:paraId="290771CF">
            <w:pPr>
              <w:jc w:val="center"/>
              <w:rPr>
                <w:rFonts w:ascii="宋体" w:hAnsi="宋体" w:cs="宋体"/>
                <w:sz w:val="18"/>
                <w:szCs w:val="18"/>
              </w:rPr>
            </w:pPr>
            <w:r>
              <w:rPr>
                <w:rFonts w:hint="eastAsia" w:ascii="宋体" w:hAnsi="宋体" w:cs="宋体"/>
                <w:sz w:val="18"/>
                <w:szCs w:val="18"/>
              </w:rPr>
              <w:t>3台</w:t>
            </w:r>
          </w:p>
        </w:tc>
        <w:tc>
          <w:tcPr>
            <w:tcW w:w="4390" w:type="dxa"/>
            <w:shd w:val="clear" w:color="auto" w:fill="auto"/>
            <w:noWrap/>
            <w:vAlign w:val="center"/>
          </w:tcPr>
          <w:p w14:paraId="775661AC">
            <w:pPr>
              <w:rPr>
                <w:rFonts w:ascii="宋体" w:hAnsi="宋体" w:cs="宋体"/>
                <w:sz w:val="18"/>
                <w:szCs w:val="18"/>
              </w:rPr>
            </w:pPr>
            <w:r>
              <w:rPr>
                <w:rFonts w:hint="eastAsia" w:ascii="宋体" w:hAnsi="宋体" w:cs="宋体"/>
                <w:sz w:val="18"/>
                <w:szCs w:val="18"/>
              </w:rPr>
              <w:t>单机节拍4.5≤秒/件，机器人自动，含振动料盘；</w:t>
            </w:r>
          </w:p>
        </w:tc>
      </w:tr>
      <w:tr w14:paraId="67C1A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 w:hRule="atLeast"/>
          <w:jc w:val="center"/>
        </w:trPr>
        <w:tc>
          <w:tcPr>
            <w:tcW w:w="797" w:type="dxa"/>
            <w:noWrap/>
            <w:vAlign w:val="center"/>
          </w:tcPr>
          <w:p w14:paraId="4686CCB9">
            <w:pPr>
              <w:jc w:val="center"/>
              <w:rPr>
                <w:rFonts w:ascii="宋体" w:hAnsi="宋体" w:cs="宋体"/>
                <w:szCs w:val="21"/>
              </w:rPr>
            </w:pPr>
            <w:r>
              <w:rPr>
                <w:rFonts w:hint="eastAsia" w:ascii="宋体" w:hAnsi="宋体" w:cs="宋体"/>
                <w:szCs w:val="21"/>
              </w:rPr>
              <w:t>★</w:t>
            </w:r>
            <w:r>
              <w:rPr>
                <w:rFonts w:hint="eastAsia" w:ascii="宋体" w:hAnsi="宋体" w:cs="宋体"/>
                <w:bCs/>
                <w:sz w:val="18"/>
                <w:szCs w:val="18"/>
              </w:rPr>
              <w:t>3</w:t>
            </w:r>
          </w:p>
        </w:tc>
        <w:tc>
          <w:tcPr>
            <w:tcW w:w="3092" w:type="dxa"/>
            <w:noWrap/>
            <w:vAlign w:val="center"/>
          </w:tcPr>
          <w:p w14:paraId="3D6601F0">
            <w:pPr>
              <w:jc w:val="center"/>
              <w:rPr>
                <w:rFonts w:ascii="宋体" w:hAnsi="宋体" w:cs="宋体"/>
                <w:sz w:val="18"/>
                <w:szCs w:val="18"/>
              </w:rPr>
            </w:pPr>
            <w:r>
              <w:rPr>
                <w:rFonts w:hint="eastAsia" w:ascii="宋体" w:hAnsi="宋体" w:cs="宋体"/>
                <w:sz w:val="18"/>
                <w:szCs w:val="18"/>
              </w:rPr>
              <w:t>接线柱焊机自动化改造</w:t>
            </w:r>
          </w:p>
        </w:tc>
        <w:tc>
          <w:tcPr>
            <w:tcW w:w="753" w:type="dxa"/>
            <w:noWrap/>
            <w:vAlign w:val="center"/>
          </w:tcPr>
          <w:p w14:paraId="1DC2A776">
            <w:pPr>
              <w:jc w:val="center"/>
              <w:rPr>
                <w:rFonts w:ascii="宋体" w:hAnsi="宋体" w:cs="宋体"/>
                <w:sz w:val="18"/>
                <w:szCs w:val="18"/>
              </w:rPr>
            </w:pPr>
            <w:r>
              <w:rPr>
                <w:rFonts w:hint="eastAsia" w:ascii="宋体" w:hAnsi="宋体" w:cs="宋体"/>
                <w:sz w:val="18"/>
                <w:szCs w:val="18"/>
              </w:rPr>
              <w:t>1台</w:t>
            </w:r>
          </w:p>
        </w:tc>
        <w:tc>
          <w:tcPr>
            <w:tcW w:w="4390" w:type="dxa"/>
            <w:noWrap/>
            <w:vAlign w:val="center"/>
          </w:tcPr>
          <w:p w14:paraId="5B571D7E">
            <w:pPr>
              <w:rPr>
                <w:rFonts w:ascii="宋体" w:hAnsi="宋体" w:cs="宋体"/>
                <w:sz w:val="18"/>
                <w:szCs w:val="18"/>
              </w:rPr>
            </w:pPr>
            <w:r>
              <w:rPr>
                <w:rFonts w:hint="eastAsia" w:ascii="宋体" w:hAnsi="宋体" w:cs="宋体"/>
                <w:sz w:val="18"/>
                <w:szCs w:val="18"/>
              </w:rPr>
              <w:t>单机节拍4.5≤秒/件，机器人自动，含振动料盘；</w:t>
            </w:r>
          </w:p>
        </w:tc>
      </w:tr>
      <w:tr w14:paraId="79E5C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 w:hRule="atLeast"/>
          <w:jc w:val="center"/>
        </w:trPr>
        <w:tc>
          <w:tcPr>
            <w:tcW w:w="797" w:type="dxa"/>
            <w:noWrap/>
            <w:vAlign w:val="center"/>
          </w:tcPr>
          <w:p w14:paraId="29E74E91">
            <w:pPr>
              <w:jc w:val="center"/>
              <w:rPr>
                <w:rFonts w:ascii="宋体" w:hAnsi="宋体" w:cs="宋体"/>
                <w:sz w:val="18"/>
                <w:szCs w:val="18"/>
              </w:rPr>
            </w:pPr>
            <w:r>
              <w:rPr>
                <w:rFonts w:hint="eastAsia" w:ascii="宋体" w:hAnsi="宋体" w:cs="宋体"/>
                <w:sz w:val="18"/>
                <w:szCs w:val="18"/>
              </w:rPr>
              <w:t>4</w:t>
            </w:r>
          </w:p>
        </w:tc>
        <w:tc>
          <w:tcPr>
            <w:tcW w:w="3092" w:type="dxa"/>
            <w:noWrap/>
            <w:vAlign w:val="center"/>
          </w:tcPr>
          <w:p w14:paraId="2221FD53">
            <w:pPr>
              <w:jc w:val="center"/>
              <w:rPr>
                <w:rFonts w:ascii="宋体" w:hAnsi="宋体" w:cs="宋体"/>
                <w:sz w:val="18"/>
                <w:szCs w:val="18"/>
              </w:rPr>
            </w:pPr>
            <w:r>
              <w:rPr>
                <w:rFonts w:hint="eastAsia" w:ascii="宋体" w:hAnsi="宋体" w:cs="宋体"/>
                <w:sz w:val="18"/>
                <w:szCs w:val="18"/>
              </w:rPr>
              <w:t>随机附件</w:t>
            </w:r>
          </w:p>
        </w:tc>
        <w:tc>
          <w:tcPr>
            <w:tcW w:w="753" w:type="dxa"/>
            <w:noWrap/>
            <w:vAlign w:val="center"/>
          </w:tcPr>
          <w:p w14:paraId="30CAE6D0">
            <w:pPr>
              <w:jc w:val="center"/>
              <w:rPr>
                <w:rFonts w:ascii="宋体" w:hAnsi="宋体" w:cs="宋体"/>
                <w:sz w:val="18"/>
                <w:szCs w:val="18"/>
              </w:rPr>
            </w:pPr>
            <w:r>
              <w:rPr>
                <w:rFonts w:hint="eastAsia" w:ascii="宋体" w:hAnsi="宋体" w:cs="宋体"/>
                <w:sz w:val="18"/>
                <w:szCs w:val="18"/>
              </w:rPr>
              <w:t>1套</w:t>
            </w:r>
          </w:p>
        </w:tc>
        <w:tc>
          <w:tcPr>
            <w:tcW w:w="4390" w:type="dxa"/>
            <w:noWrap/>
            <w:vAlign w:val="center"/>
          </w:tcPr>
          <w:p w14:paraId="7F26AAF9">
            <w:pPr>
              <w:jc w:val="center"/>
              <w:rPr>
                <w:rFonts w:ascii="宋体" w:hAnsi="宋体" w:cs="宋体"/>
                <w:sz w:val="18"/>
                <w:szCs w:val="18"/>
              </w:rPr>
            </w:pPr>
          </w:p>
        </w:tc>
      </w:tr>
      <w:tr w14:paraId="10CB7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 w:hRule="atLeast"/>
          <w:jc w:val="center"/>
        </w:trPr>
        <w:tc>
          <w:tcPr>
            <w:tcW w:w="797" w:type="dxa"/>
            <w:noWrap/>
            <w:vAlign w:val="center"/>
          </w:tcPr>
          <w:p w14:paraId="24C109F5">
            <w:pPr>
              <w:jc w:val="center"/>
              <w:rPr>
                <w:rFonts w:ascii="宋体" w:hAnsi="宋体" w:cs="宋体"/>
                <w:sz w:val="18"/>
                <w:szCs w:val="18"/>
              </w:rPr>
            </w:pPr>
            <w:r>
              <w:rPr>
                <w:rFonts w:hint="eastAsia" w:ascii="宋体" w:hAnsi="宋体" w:cs="宋体"/>
                <w:sz w:val="18"/>
                <w:szCs w:val="18"/>
              </w:rPr>
              <w:t>5</w:t>
            </w:r>
          </w:p>
        </w:tc>
        <w:tc>
          <w:tcPr>
            <w:tcW w:w="3092" w:type="dxa"/>
            <w:noWrap/>
            <w:vAlign w:val="center"/>
          </w:tcPr>
          <w:p w14:paraId="4244DBA8">
            <w:pPr>
              <w:jc w:val="center"/>
              <w:rPr>
                <w:rFonts w:ascii="宋体" w:hAnsi="宋体" w:cs="宋体"/>
                <w:sz w:val="18"/>
                <w:szCs w:val="18"/>
              </w:rPr>
            </w:pPr>
            <w:r>
              <w:rPr>
                <w:rFonts w:hint="eastAsia" w:ascii="宋体" w:hAnsi="宋体" w:cs="宋体"/>
                <w:sz w:val="18"/>
                <w:szCs w:val="18"/>
              </w:rPr>
              <w:t>技术资料</w:t>
            </w:r>
          </w:p>
        </w:tc>
        <w:tc>
          <w:tcPr>
            <w:tcW w:w="753" w:type="dxa"/>
            <w:noWrap/>
            <w:vAlign w:val="center"/>
          </w:tcPr>
          <w:p w14:paraId="790C4706">
            <w:pPr>
              <w:jc w:val="center"/>
              <w:rPr>
                <w:rFonts w:ascii="宋体" w:hAnsi="宋体" w:cs="宋体"/>
                <w:sz w:val="18"/>
                <w:szCs w:val="18"/>
              </w:rPr>
            </w:pPr>
            <w:r>
              <w:rPr>
                <w:rFonts w:hint="eastAsia" w:ascii="宋体" w:hAnsi="宋体" w:cs="宋体"/>
                <w:sz w:val="18"/>
                <w:szCs w:val="18"/>
              </w:rPr>
              <w:t>3套</w:t>
            </w:r>
          </w:p>
        </w:tc>
        <w:tc>
          <w:tcPr>
            <w:tcW w:w="4390" w:type="dxa"/>
            <w:noWrap/>
            <w:vAlign w:val="center"/>
          </w:tcPr>
          <w:p w14:paraId="34EC2E48">
            <w:pPr>
              <w:jc w:val="center"/>
              <w:rPr>
                <w:rFonts w:ascii="宋体" w:hAnsi="宋体" w:cs="宋体"/>
                <w:sz w:val="18"/>
                <w:szCs w:val="18"/>
              </w:rPr>
            </w:pPr>
            <w:r>
              <w:rPr>
                <w:rFonts w:hint="eastAsia" w:ascii="宋体" w:hAnsi="宋体" w:cs="宋体"/>
                <w:sz w:val="18"/>
                <w:szCs w:val="18"/>
              </w:rPr>
              <w:t>含电子文档，含布局图、标准件和易损件清单及图纸。</w:t>
            </w:r>
          </w:p>
        </w:tc>
      </w:tr>
      <w:tr w14:paraId="0CC13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5" w:hRule="atLeast"/>
          <w:jc w:val="center"/>
        </w:trPr>
        <w:tc>
          <w:tcPr>
            <w:tcW w:w="797" w:type="dxa"/>
            <w:noWrap/>
            <w:vAlign w:val="center"/>
          </w:tcPr>
          <w:p w14:paraId="7642D298">
            <w:pPr>
              <w:jc w:val="center"/>
              <w:rPr>
                <w:rFonts w:ascii="宋体" w:hAnsi="宋体" w:cs="宋体"/>
                <w:sz w:val="18"/>
                <w:szCs w:val="18"/>
              </w:rPr>
            </w:pPr>
            <w:r>
              <w:rPr>
                <w:rFonts w:hint="eastAsia" w:ascii="宋体" w:hAnsi="宋体" w:cs="宋体"/>
                <w:sz w:val="18"/>
                <w:szCs w:val="18"/>
              </w:rPr>
              <w:t>6</w:t>
            </w:r>
          </w:p>
        </w:tc>
        <w:tc>
          <w:tcPr>
            <w:tcW w:w="3092" w:type="dxa"/>
            <w:noWrap/>
            <w:vAlign w:val="center"/>
          </w:tcPr>
          <w:p w14:paraId="17F01A0B">
            <w:pPr>
              <w:jc w:val="center"/>
              <w:rPr>
                <w:rFonts w:ascii="宋体" w:hAnsi="宋体" w:cs="宋体"/>
                <w:sz w:val="18"/>
                <w:szCs w:val="18"/>
              </w:rPr>
            </w:pPr>
            <w:r>
              <w:rPr>
                <w:rFonts w:hint="eastAsia" w:ascii="宋体" w:hAnsi="宋体" w:cs="宋体"/>
                <w:sz w:val="18"/>
                <w:szCs w:val="18"/>
              </w:rPr>
              <w:t>交货期</w:t>
            </w:r>
          </w:p>
        </w:tc>
        <w:tc>
          <w:tcPr>
            <w:tcW w:w="5143" w:type="dxa"/>
            <w:gridSpan w:val="2"/>
            <w:noWrap/>
            <w:vAlign w:val="center"/>
          </w:tcPr>
          <w:p w14:paraId="6B460E7D">
            <w:pPr>
              <w:jc w:val="left"/>
              <w:rPr>
                <w:rFonts w:ascii="宋体" w:hAnsi="宋体" w:cs="宋体"/>
                <w:sz w:val="18"/>
                <w:szCs w:val="18"/>
              </w:rPr>
            </w:pPr>
            <w:r>
              <w:rPr>
                <w:rFonts w:hint="eastAsia" w:ascii="宋体" w:hAnsi="宋体" w:cs="宋体"/>
                <w:sz w:val="18"/>
                <w:szCs w:val="18"/>
              </w:rPr>
              <w:t>自合同生效之日起3个月内；</w:t>
            </w:r>
          </w:p>
        </w:tc>
      </w:tr>
      <w:tr w14:paraId="2DB2D6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 w:hRule="atLeast"/>
          <w:jc w:val="center"/>
        </w:trPr>
        <w:tc>
          <w:tcPr>
            <w:tcW w:w="797" w:type="dxa"/>
            <w:noWrap/>
            <w:vAlign w:val="center"/>
          </w:tcPr>
          <w:p w14:paraId="09AFE72B">
            <w:pPr>
              <w:jc w:val="center"/>
              <w:rPr>
                <w:rFonts w:ascii="宋体" w:hAnsi="宋体" w:cs="宋体"/>
                <w:sz w:val="18"/>
                <w:szCs w:val="18"/>
              </w:rPr>
            </w:pPr>
            <w:r>
              <w:rPr>
                <w:rFonts w:hint="eastAsia" w:ascii="宋体" w:hAnsi="宋体" w:cs="宋体"/>
                <w:sz w:val="18"/>
                <w:szCs w:val="18"/>
              </w:rPr>
              <w:t>7</w:t>
            </w:r>
          </w:p>
        </w:tc>
        <w:tc>
          <w:tcPr>
            <w:tcW w:w="3092" w:type="dxa"/>
            <w:noWrap/>
            <w:vAlign w:val="center"/>
          </w:tcPr>
          <w:p w14:paraId="0261B729">
            <w:pPr>
              <w:jc w:val="center"/>
              <w:rPr>
                <w:rFonts w:ascii="宋体" w:hAnsi="宋体" w:cs="宋体"/>
                <w:sz w:val="18"/>
                <w:szCs w:val="18"/>
              </w:rPr>
            </w:pPr>
            <w:r>
              <w:rPr>
                <w:rFonts w:hint="eastAsia" w:ascii="宋体" w:hAnsi="宋体" w:cs="宋体"/>
                <w:sz w:val="18"/>
                <w:szCs w:val="18"/>
              </w:rPr>
              <w:t>交货地点</w:t>
            </w:r>
          </w:p>
        </w:tc>
        <w:tc>
          <w:tcPr>
            <w:tcW w:w="5143" w:type="dxa"/>
            <w:gridSpan w:val="2"/>
            <w:noWrap/>
            <w:vAlign w:val="center"/>
          </w:tcPr>
          <w:p w14:paraId="23449BBF">
            <w:pPr>
              <w:jc w:val="left"/>
              <w:rPr>
                <w:rFonts w:ascii="宋体" w:hAnsi="宋体" w:cs="宋体"/>
                <w:sz w:val="18"/>
                <w:szCs w:val="18"/>
              </w:rPr>
            </w:pPr>
            <w:r>
              <w:rPr>
                <w:rFonts w:hint="eastAsia" w:ascii="宋体" w:hAnsi="宋体" w:cs="宋体"/>
                <w:sz w:val="18"/>
                <w:szCs w:val="18"/>
              </w:rPr>
              <w:t>嘉兴市一工厂、三工厂</w:t>
            </w:r>
          </w:p>
        </w:tc>
      </w:tr>
      <w:tr w14:paraId="658D3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797" w:type="dxa"/>
            <w:noWrap/>
            <w:vAlign w:val="center"/>
          </w:tcPr>
          <w:p w14:paraId="7B6B885F">
            <w:pPr>
              <w:jc w:val="center"/>
              <w:rPr>
                <w:rFonts w:ascii="宋体" w:hAnsi="宋体" w:cs="宋体"/>
                <w:sz w:val="18"/>
                <w:szCs w:val="18"/>
              </w:rPr>
            </w:pPr>
            <w:r>
              <w:rPr>
                <w:rFonts w:hint="eastAsia" w:ascii="宋体" w:hAnsi="宋体" w:cs="宋体"/>
                <w:sz w:val="18"/>
                <w:szCs w:val="18"/>
              </w:rPr>
              <w:t>8</w:t>
            </w:r>
          </w:p>
        </w:tc>
        <w:tc>
          <w:tcPr>
            <w:tcW w:w="3092" w:type="dxa"/>
            <w:noWrap/>
            <w:vAlign w:val="center"/>
          </w:tcPr>
          <w:p w14:paraId="42CBB768">
            <w:pPr>
              <w:jc w:val="left"/>
              <w:rPr>
                <w:rFonts w:ascii="宋体" w:hAnsi="宋体" w:cs="宋体"/>
                <w:sz w:val="18"/>
                <w:szCs w:val="18"/>
              </w:rPr>
            </w:pPr>
            <w:r>
              <w:rPr>
                <w:rFonts w:hint="eastAsia" w:ascii="宋体" w:hAnsi="宋体" w:cs="宋体"/>
                <w:sz w:val="18"/>
                <w:szCs w:val="18"/>
              </w:rPr>
              <w:t>投标方认为必须提供的其他货物</w:t>
            </w:r>
          </w:p>
        </w:tc>
        <w:tc>
          <w:tcPr>
            <w:tcW w:w="5143" w:type="dxa"/>
            <w:gridSpan w:val="2"/>
            <w:noWrap/>
            <w:vAlign w:val="center"/>
          </w:tcPr>
          <w:p w14:paraId="11FE99D7">
            <w:pPr>
              <w:jc w:val="left"/>
              <w:rPr>
                <w:rFonts w:ascii="宋体" w:hAnsi="宋体" w:cs="宋体"/>
                <w:sz w:val="18"/>
                <w:szCs w:val="18"/>
              </w:rPr>
            </w:pPr>
          </w:p>
        </w:tc>
      </w:tr>
    </w:tbl>
    <w:p w14:paraId="2654E909">
      <w:pPr>
        <w:numPr>
          <w:ilvl w:val="0"/>
          <w:numId w:val="28"/>
        </w:numPr>
        <w:overflowPunct w:val="0"/>
        <w:rPr>
          <w:rFonts w:ascii="宋体" w:hAnsi="宋体" w:cs="宋体"/>
          <w:spacing w:val="4"/>
          <w:szCs w:val="21"/>
        </w:rPr>
      </w:pPr>
      <w:r>
        <w:rPr>
          <w:rFonts w:hint="eastAsia" w:ascii="宋体" w:hAnsi="宋体" w:cs="宋体"/>
          <w:spacing w:val="4"/>
          <w:szCs w:val="21"/>
        </w:rPr>
        <w:t>设备用途及工作条件</w:t>
      </w:r>
    </w:p>
    <w:p w14:paraId="3B5A53DF">
      <w:pPr>
        <w:numPr>
          <w:ilvl w:val="1"/>
          <w:numId w:val="28"/>
        </w:numPr>
        <w:overflowPunct w:val="0"/>
        <w:rPr>
          <w:rFonts w:ascii="宋体" w:hAnsi="宋体" w:cs="宋体"/>
          <w:spacing w:val="4"/>
          <w:szCs w:val="21"/>
          <w:highlight w:val="none"/>
        </w:rPr>
      </w:pPr>
      <w:r>
        <w:rPr>
          <w:rFonts w:hint="eastAsia" w:ascii="宋体" w:hAnsi="宋体" w:cs="宋体"/>
          <w:spacing w:val="4"/>
          <w:szCs w:val="21"/>
        </w:rPr>
        <w:t>设备主要用途：</w:t>
      </w:r>
      <w:r>
        <w:rPr>
          <w:rFonts w:ascii="宋体" w:hAnsi="宋体" w:cs="宋体"/>
          <w:spacing w:val="4"/>
          <w:szCs w:val="21"/>
        </w:rPr>
        <w:t xml:space="preserve"> </w:t>
      </w:r>
      <w:r>
        <w:rPr>
          <w:rFonts w:hint="eastAsia" w:ascii="宋体" w:hAnsi="宋体" w:cs="宋体"/>
          <w:spacing w:val="4"/>
          <w:szCs w:val="21"/>
        </w:rPr>
        <w:t>王店工</w:t>
      </w:r>
      <w:r>
        <w:rPr>
          <w:rFonts w:hint="eastAsia" w:ascii="宋体" w:hAnsi="宋体" w:cs="宋体"/>
          <w:spacing w:val="4"/>
          <w:szCs w:val="21"/>
          <w:highlight w:val="none"/>
        </w:rPr>
        <w:t>厂</w:t>
      </w:r>
      <w:r>
        <w:rPr>
          <w:rFonts w:hint="eastAsia" w:ascii="宋体" w:hAnsi="宋体" w:cs="宋体"/>
          <w:spacing w:val="4"/>
          <w:szCs w:val="21"/>
        </w:rPr>
        <w:t>原手工焊机改为自动焊机，同时兼容</w:t>
      </w:r>
      <w:r>
        <w:rPr>
          <w:rFonts w:hint="eastAsia" w:ascii="宋体" w:hAnsi="宋体" w:cs="宋体"/>
          <w:spacing w:val="4"/>
          <w:szCs w:val="21"/>
          <w:highlight w:val="none"/>
        </w:rPr>
        <w:t>图纸清单中的</w:t>
      </w:r>
      <w:r>
        <w:rPr>
          <w:rFonts w:hint="eastAsia" w:ascii="宋体" w:hAnsi="宋体" w:cs="宋体"/>
          <w:spacing w:val="4"/>
          <w:szCs w:val="21"/>
        </w:rPr>
        <w:t>型号产品</w:t>
      </w:r>
      <w:r>
        <w:rPr>
          <w:rFonts w:hint="eastAsia" w:ascii="宋体" w:hAnsi="宋体" w:cs="宋体"/>
          <w:spacing w:val="4"/>
          <w:szCs w:val="21"/>
          <w:highlight w:val="none"/>
        </w:rPr>
        <w:t>。</w:t>
      </w:r>
      <w:r>
        <w:rPr>
          <w:rFonts w:hint="eastAsia" w:ascii="宋体" w:hAnsi="宋体" w:cs="宋体"/>
          <w:spacing w:val="4"/>
          <w:szCs w:val="21"/>
        </w:rPr>
        <w:t>三厂冲焊原手工三管焊机及接线柱焊机为</w:t>
      </w:r>
      <w:r>
        <w:rPr>
          <w:rFonts w:hint="eastAsia" w:ascii="宋体" w:hAnsi="宋体" w:cs="宋体"/>
          <w:spacing w:val="4"/>
          <w:szCs w:val="21"/>
          <w:highlight w:val="none"/>
        </w:rPr>
        <w:t>图纸清单中</w:t>
      </w:r>
      <w:r>
        <w:rPr>
          <w:rFonts w:hint="eastAsia" w:ascii="宋体" w:hAnsi="宋体" w:cs="宋体"/>
          <w:spacing w:val="4"/>
          <w:szCs w:val="21"/>
        </w:rPr>
        <w:t>壳体组件的焊接；</w:t>
      </w:r>
    </w:p>
    <w:p w14:paraId="215DC0CC">
      <w:pPr>
        <w:numPr>
          <w:ilvl w:val="0"/>
          <w:numId w:val="0"/>
        </w:numPr>
        <w:overflowPunct w:val="0"/>
        <w:ind w:left="0" w:firstLine="872" w:firstLineChars="400"/>
        <w:rPr>
          <w:rFonts w:ascii="宋体" w:hAnsi="宋体" w:cs="宋体"/>
          <w:spacing w:val="4"/>
          <w:szCs w:val="21"/>
          <w:highlight w:val="none"/>
        </w:rPr>
      </w:pPr>
      <w:r>
        <w:rPr>
          <w:rFonts w:hint="eastAsia" w:ascii="宋体" w:hAnsi="宋体" w:cs="宋体"/>
          <w:spacing w:val="4"/>
          <w:szCs w:val="21"/>
          <w:highlight w:val="none"/>
        </w:rPr>
        <w:t>上支架焊接联线产品图纸清单</w:t>
      </w:r>
    </w:p>
    <w:tbl>
      <w:tblPr>
        <w:tblStyle w:val="44"/>
        <w:tblW w:w="7950" w:type="dxa"/>
        <w:tblInd w:w="959" w:type="dxa"/>
        <w:tblLayout w:type="autofit"/>
        <w:tblCellMar>
          <w:top w:w="0" w:type="dxa"/>
          <w:left w:w="108" w:type="dxa"/>
          <w:bottom w:w="0" w:type="dxa"/>
          <w:right w:w="108" w:type="dxa"/>
        </w:tblCellMar>
      </w:tblPr>
      <w:tblGrid>
        <w:gridCol w:w="1080"/>
        <w:gridCol w:w="2476"/>
        <w:gridCol w:w="2126"/>
        <w:gridCol w:w="2268"/>
      </w:tblGrid>
      <w:tr w14:paraId="1524C5F4">
        <w:tblPrEx>
          <w:tblCellMar>
            <w:top w:w="0" w:type="dxa"/>
            <w:left w:w="108" w:type="dxa"/>
            <w:bottom w:w="0" w:type="dxa"/>
            <w:right w:w="108" w:type="dxa"/>
          </w:tblCellMar>
        </w:tblPrEx>
        <w:trPr>
          <w:trHeight w:val="499" w:hRule="atLeast"/>
        </w:trPr>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A30695C">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2476" w:type="dxa"/>
            <w:tcBorders>
              <w:top w:val="single" w:color="auto" w:sz="4" w:space="0"/>
              <w:left w:val="nil"/>
              <w:bottom w:val="single" w:color="auto" w:sz="4" w:space="0"/>
              <w:right w:val="single" w:color="auto" w:sz="4" w:space="0"/>
            </w:tcBorders>
            <w:shd w:val="clear" w:color="auto" w:fill="auto"/>
            <w:noWrap/>
            <w:vAlign w:val="center"/>
          </w:tcPr>
          <w:p w14:paraId="1C02BE7F">
            <w:pPr>
              <w:widowControl/>
              <w:jc w:val="left"/>
              <w:rPr>
                <w:rFonts w:ascii="宋体" w:hAnsi="宋体" w:cs="宋体"/>
                <w:color w:val="000000"/>
                <w:kern w:val="0"/>
                <w:sz w:val="22"/>
                <w:szCs w:val="22"/>
              </w:rPr>
            </w:pPr>
            <w:r>
              <w:rPr>
                <w:rFonts w:hint="eastAsia" w:ascii="宋体" w:hAnsi="宋体" w:cs="宋体"/>
                <w:color w:val="000000"/>
                <w:kern w:val="0"/>
                <w:sz w:val="22"/>
                <w:szCs w:val="22"/>
              </w:rPr>
              <w:t>图纸图号</w:t>
            </w:r>
          </w:p>
        </w:tc>
        <w:tc>
          <w:tcPr>
            <w:tcW w:w="2126" w:type="dxa"/>
            <w:tcBorders>
              <w:top w:val="single" w:color="auto" w:sz="4" w:space="0"/>
              <w:left w:val="nil"/>
              <w:bottom w:val="single" w:color="auto" w:sz="4" w:space="0"/>
              <w:right w:val="single" w:color="auto" w:sz="4" w:space="0"/>
            </w:tcBorders>
            <w:shd w:val="clear" w:color="auto" w:fill="auto"/>
            <w:noWrap/>
            <w:vAlign w:val="center"/>
          </w:tcPr>
          <w:p w14:paraId="0ED85400">
            <w:pPr>
              <w:widowControl/>
              <w:jc w:val="left"/>
              <w:rPr>
                <w:rFonts w:ascii="宋体" w:hAnsi="宋体" w:cs="宋体"/>
                <w:color w:val="000000"/>
                <w:kern w:val="0"/>
                <w:sz w:val="22"/>
                <w:szCs w:val="22"/>
              </w:rPr>
            </w:pPr>
            <w:r>
              <w:rPr>
                <w:rFonts w:hint="eastAsia" w:ascii="宋体" w:hAnsi="宋体" w:cs="宋体"/>
                <w:color w:val="000000"/>
                <w:kern w:val="0"/>
                <w:sz w:val="22"/>
                <w:szCs w:val="22"/>
              </w:rPr>
              <w:t>上壳体图号</w:t>
            </w:r>
          </w:p>
        </w:tc>
        <w:tc>
          <w:tcPr>
            <w:tcW w:w="2268" w:type="dxa"/>
            <w:tcBorders>
              <w:top w:val="single" w:color="auto" w:sz="4" w:space="0"/>
              <w:left w:val="nil"/>
              <w:bottom w:val="single" w:color="auto" w:sz="4" w:space="0"/>
              <w:right w:val="single" w:color="auto" w:sz="4" w:space="0"/>
            </w:tcBorders>
            <w:shd w:val="clear" w:color="auto" w:fill="auto"/>
            <w:noWrap/>
            <w:vAlign w:val="center"/>
          </w:tcPr>
          <w:p w14:paraId="2F1FA7BD">
            <w:pPr>
              <w:widowControl/>
              <w:jc w:val="left"/>
              <w:rPr>
                <w:rFonts w:ascii="宋体" w:hAnsi="宋体" w:cs="宋体"/>
                <w:color w:val="000000"/>
                <w:kern w:val="0"/>
                <w:sz w:val="22"/>
                <w:szCs w:val="22"/>
              </w:rPr>
            </w:pPr>
            <w:r>
              <w:rPr>
                <w:rFonts w:hint="eastAsia" w:ascii="宋体" w:hAnsi="宋体" w:cs="宋体"/>
                <w:color w:val="000000"/>
                <w:kern w:val="0"/>
                <w:sz w:val="22"/>
                <w:szCs w:val="22"/>
              </w:rPr>
              <w:t>上壳体支架图号</w:t>
            </w:r>
          </w:p>
        </w:tc>
      </w:tr>
      <w:tr w14:paraId="2EC9DA71">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7491B42E">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476" w:type="dxa"/>
            <w:tcBorders>
              <w:top w:val="nil"/>
              <w:left w:val="nil"/>
              <w:bottom w:val="single" w:color="auto" w:sz="4" w:space="0"/>
              <w:right w:val="single" w:color="auto" w:sz="4" w:space="0"/>
            </w:tcBorders>
            <w:shd w:val="clear" w:color="auto" w:fill="auto"/>
            <w:noWrap/>
            <w:vAlign w:val="center"/>
          </w:tcPr>
          <w:p w14:paraId="4687FCBC">
            <w:pPr>
              <w:widowControl/>
              <w:jc w:val="left"/>
              <w:rPr>
                <w:rFonts w:ascii="宋体" w:hAnsi="宋体" w:cs="宋体"/>
                <w:color w:val="000000"/>
                <w:kern w:val="0"/>
                <w:sz w:val="22"/>
                <w:szCs w:val="22"/>
              </w:rPr>
            </w:pPr>
            <w:r>
              <w:rPr>
                <w:rFonts w:hint="eastAsia" w:ascii="宋体" w:hAnsi="宋体" w:cs="宋体"/>
                <w:color w:val="000000"/>
                <w:kern w:val="0"/>
                <w:sz w:val="22"/>
                <w:szCs w:val="22"/>
              </w:rPr>
              <w:t>13.01.65X</w:t>
            </w:r>
          </w:p>
        </w:tc>
        <w:tc>
          <w:tcPr>
            <w:tcW w:w="2126" w:type="dxa"/>
            <w:tcBorders>
              <w:top w:val="nil"/>
              <w:left w:val="nil"/>
              <w:bottom w:val="single" w:color="auto" w:sz="4" w:space="0"/>
              <w:right w:val="single" w:color="auto" w:sz="4" w:space="0"/>
            </w:tcBorders>
            <w:shd w:val="clear" w:color="auto" w:fill="auto"/>
            <w:noWrap/>
            <w:vAlign w:val="center"/>
          </w:tcPr>
          <w:p w14:paraId="61DC97F0">
            <w:pPr>
              <w:widowControl/>
              <w:jc w:val="left"/>
              <w:rPr>
                <w:rFonts w:ascii="宋体" w:hAnsi="宋体" w:cs="宋体"/>
                <w:color w:val="000000"/>
                <w:kern w:val="0"/>
                <w:sz w:val="22"/>
                <w:szCs w:val="22"/>
              </w:rPr>
            </w:pPr>
            <w:r>
              <w:rPr>
                <w:rFonts w:hint="eastAsia" w:ascii="宋体" w:hAnsi="宋体" w:cs="宋体"/>
                <w:color w:val="000000"/>
                <w:kern w:val="0"/>
                <w:sz w:val="22"/>
                <w:szCs w:val="22"/>
              </w:rPr>
              <w:t>23.01.65X</w:t>
            </w:r>
          </w:p>
        </w:tc>
        <w:tc>
          <w:tcPr>
            <w:tcW w:w="2268" w:type="dxa"/>
            <w:tcBorders>
              <w:top w:val="nil"/>
              <w:left w:val="nil"/>
              <w:bottom w:val="single" w:color="auto" w:sz="4" w:space="0"/>
              <w:right w:val="single" w:color="auto" w:sz="4" w:space="0"/>
            </w:tcBorders>
            <w:shd w:val="clear" w:color="auto" w:fill="auto"/>
            <w:noWrap/>
            <w:vAlign w:val="center"/>
          </w:tcPr>
          <w:p w14:paraId="243F2081">
            <w:pPr>
              <w:widowControl/>
              <w:jc w:val="left"/>
              <w:rPr>
                <w:rFonts w:ascii="宋体" w:hAnsi="宋体" w:cs="宋体"/>
                <w:color w:val="000000"/>
                <w:kern w:val="0"/>
                <w:sz w:val="22"/>
                <w:szCs w:val="22"/>
              </w:rPr>
            </w:pPr>
            <w:r>
              <w:rPr>
                <w:rFonts w:hint="eastAsia" w:ascii="宋体" w:hAnsi="宋体" w:cs="宋体"/>
                <w:color w:val="000000"/>
                <w:kern w:val="0"/>
                <w:sz w:val="22"/>
                <w:szCs w:val="22"/>
              </w:rPr>
              <w:t>23.02.002</w:t>
            </w:r>
          </w:p>
        </w:tc>
      </w:tr>
      <w:tr w14:paraId="500FE62A">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713760D6">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2476" w:type="dxa"/>
            <w:tcBorders>
              <w:top w:val="nil"/>
              <w:left w:val="nil"/>
              <w:bottom w:val="single" w:color="auto" w:sz="4" w:space="0"/>
              <w:right w:val="single" w:color="auto" w:sz="4" w:space="0"/>
            </w:tcBorders>
            <w:shd w:val="clear" w:color="auto" w:fill="auto"/>
            <w:noWrap/>
            <w:vAlign w:val="center"/>
          </w:tcPr>
          <w:p w14:paraId="2E2F6C6C">
            <w:pPr>
              <w:widowControl/>
              <w:jc w:val="left"/>
              <w:rPr>
                <w:rFonts w:ascii="宋体" w:hAnsi="宋体" w:cs="宋体"/>
                <w:color w:val="000000"/>
                <w:kern w:val="0"/>
                <w:sz w:val="22"/>
                <w:szCs w:val="22"/>
              </w:rPr>
            </w:pPr>
            <w:r>
              <w:rPr>
                <w:rFonts w:hint="eastAsia" w:ascii="宋体" w:hAnsi="宋体" w:cs="宋体"/>
                <w:color w:val="000000"/>
                <w:kern w:val="0"/>
                <w:sz w:val="22"/>
                <w:szCs w:val="22"/>
              </w:rPr>
              <w:t>13.01.655B</w:t>
            </w:r>
          </w:p>
        </w:tc>
        <w:tc>
          <w:tcPr>
            <w:tcW w:w="2126" w:type="dxa"/>
            <w:tcBorders>
              <w:top w:val="nil"/>
              <w:left w:val="nil"/>
              <w:bottom w:val="single" w:color="auto" w:sz="4" w:space="0"/>
              <w:right w:val="single" w:color="auto" w:sz="4" w:space="0"/>
            </w:tcBorders>
            <w:shd w:val="clear" w:color="auto" w:fill="auto"/>
            <w:noWrap/>
            <w:vAlign w:val="center"/>
          </w:tcPr>
          <w:p w14:paraId="634F5EE5">
            <w:pPr>
              <w:widowControl/>
              <w:jc w:val="left"/>
              <w:rPr>
                <w:rFonts w:ascii="宋体" w:hAnsi="宋体" w:cs="宋体"/>
                <w:color w:val="000000"/>
                <w:kern w:val="0"/>
                <w:sz w:val="22"/>
                <w:szCs w:val="22"/>
              </w:rPr>
            </w:pPr>
            <w:r>
              <w:rPr>
                <w:rFonts w:hint="eastAsia" w:ascii="宋体" w:hAnsi="宋体" w:cs="宋体"/>
                <w:color w:val="000000"/>
                <w:kern w:val="0"/>
                <w:sz w:val="22"/>
                <w:szCs w:val="22"/>
              </w:rPr>
              <w:t>23.01.655</w:t>
            </w:r>
          </w:p>
        </w:tc>
        <w:tc>
          <w:tcPr>
            <w:tcW w:w="2268" w:type="dxa"/>
            <w:tcBorders>
              <w:top w:val="nil"/>
              <w:left w:val="nil"/>
              <w:bottom w:val="single" w:color="auto" w:sz="4" w:space="0"/>
              <w:right w:val="single" w:color="auto" w:sz="4" w:space="0"/>
            </w:tcBorders>
            <w:shd w:val="clear" w:color="auto" w:fill="auto"/>
            <w:noWrap/>
            <w:vAlign w:val="center"/>
          </w:tcPr>
          <w:p w14:paraId="3EC39ECC">
            <w:pPr>
              <w:widowControl/>
              <w:jc w:val="left"/>
              <w:rPr>
                <w:rFonts w:ascii="宋体" w:hAnsi="宋体" w:cs="宋体"/>
                <w:color w:val="000000"/>
                <w:kern w:val="0"/>
                <w:sz w:val="22"/>
                <w:szCs w:val="22"/>
              </w:rPr>
            </w:pPr>
            <w:r>
              <w:rPr>
                <w:rFonts w:hint="eastAsia" w:ascii="宋体" w:hAnsi="宋体" w:cs="宋体"/>
                <w:color w:val="000000"/>
                <w:kern w:val="0"/>
                <w:sz w:val="22"/>
                <w:szCs w:val="22"/>
              </w:rPr>
              <w:t>23.02.002</w:t>
            </w:r>
          </w:p>
        </w:tc>
      </w:tr>
      <w:tr w14:paraId="0E06E22D">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36EBDE9D">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2476" w:type="dxa"/>
            <w:tcBorders>
              <w:top w:val="nil"/>
              <w:left w:val="nil"/>
              <w:bottom w:val="single" w:color="auto" w:sz="4" w:space="0"/>
              <w:right w:val="single" w:color="auto" w:sz="4" w:space="0"/>
            </w:tcBorders>
            <w:shd w:val="clear" w:color="auto" w:fill="auto"/>
            <w:noWrap/>
            <w:vAlign w:val="center"/>
          </w:tcPr>
          <w:p w14:paraId="3965220B">
            <w:pPr>
              <w:widowControl/>
              <w:jc w:val="left"/>
              <w:rPr>
                <w:rFonts w:ascii="宋体" w:hAnsi="宋体" w:cs="宋体"/>
                <w:color w:val="000000"/>
                <w:kern w:val="0"/>
                <w:sz w:val="22"/>
                <w:szCs w:val="22"/>
              </w:rPr>
            </w:pPr>
            <w:r>
              <w:rPr>
                <w:rFonts w:hint="eastAsia" w:ascii="宋体" w:hAnsi="宋体" w:cs="宋体"/>
                <w:color w:val="000000"/>
                <w:kern w:val="0"/>
                <w:sz w:val="22"/>
                <w:szCs w:val="22"/>
              </w:rPr>
              <w:t>13.01.65XA</w:t>
            </w:r>
          </w:p>
        </w:tc>
        <w:tc>
          <w:tcPr>
            <w:tcW w:w="2126" w:type="dxa"/>
            <w:tcBorders>
              <w:top w:val="nil"/>
              <w:left w:val="nil"/>
              <w:bottom w:val="single" w:color="auto" w:sz="4" w:space="0"/>
              <w:right w:val="single" w:color="auto" w:sz="4" w:space="0"/>
            </w:tcBorders>
            <w:shd w:val="clear" w:color="auto" w:fill="auto"/>
            <w:noWrap/>
            <w:vAlign w:val="center"/>
          </w:tcPr>
          <w:p w14:paraId="7E3983ED">
            <w:pPr>
              <w:widowControl/>
              <w:jc w:val="left"/>
              <w:rPr>
                <w:rFonts w:ascii="宋体" w:hAnsi="宋体" w:cs="宋体"/>
                <w:color w:val="000000"/>
                <w:kern w:val="0"/>
                <w:sz w:val="22"/>
                <w:szCs w:val="22"/>
              </w:rPr>
            </w:pPr>
            <w:r>
              <w:rPr>
                <w:rFonts w:hint="eastAsia" w:ascii="宋体" w:hAnsi="宋体" w:cs="宋体"/>
                <w:color w:val="000000"/>
                <w:kern w:val="0"/>
                <w:sz w:val="22"/>
                <w:szCs w:val="22"/>
              </w:rPr>
              <w:t>23.01.65X</w:t>
            </w:r>
          </w:p>
        </w:tc>
        <w:tc>
          <w:tcPr>
            <w:tcW w:w="2268" w:type="dxa"/>
            <w:tcBorders>
              <w:top w:val="nil"/>
              <w:left w:val="nil"/>
              <w:bottom w:val="single" w:color="auto" w:sz="4" w:space="0"/>
              <w:right w:val="single" w:color="auto" w:sz="4" w:space="0"/>
            </w:tcBorders>
            <w:shd w:val="clear" w:color="auto" w:fill="auto"/>
            <w:noWrap/>
            <w:vAlign w:val="center"/>
          </w:tcPr>
          <w:p w14:paraId="2E683D49">
            <w:pPr>
              <w:widowControl/>
              <w:jc w:val="left"/>
              <w:rPr>
                <w:rFonts w:ascii="宋体" w:hAnsi="宋体" w:cs="宋体"/>
                <w:color w:val="000000"/>
                <w:kern w:val="0"/>
                <w:sz w:val="22"/>
                <w:szCs w:val="22"/>
              </w:rPr>
            </w:pPr>
            <w:r>
              <w:rPr>
                <w:rFonts w:hint="eastAsia" w:ascii="宋体" w:hAnsi="宋体" w:cs="宋体"/>
                <w:color w:val="000000"/>
                <w:kern w:val="0"/>
                <w:sz w:val="22"/>
                <w:szCs w:val="22"/>
              </w:rPr>
              <w:t>23.02.005M</w:t>
            </w:r>
          </w:p>
        </w:tc>
      </w:tr>
      <w:tr w14:paraId="121F30D8">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484C0096">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5</w:t>
            </w:r>
          </w:p>
        </w:tc>
        <w:tc>
          <w:tcPr>
            <w:tcW w:w="2476" w:type="dxa"/>
            <w:tcBorders>
              <w:top w:val="nil"/>
              <w:left w:val="nil"/>
              <w:bottom w:val="single" w:color="auto" w:sz="4" w:space="0"/>
              <w:right w:val="single" w:color="auto" w:sz="4" w:space="0"/>
            </w:tcBorders>
            <w:shd w:val="clear" w:color="auto" w:fill="auto"/>
            <w:noWrap/>
            <w:vAlign w:val="center"/>
          </w:tcPr>
          <w:p w14:paraId="79F04076">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13.01.66XC</w:t>
            </w:r>
          </w:p>
        </w:tc>
        <w:tc>
          <w:tcPr>
            <w:tcW w:w="2126" w:type="dxa"/>
            <w:tcBorders>
              <w:top w:val="nil"/>
              <w:left w:val="nil"/>
              <w:bottom w:val="single" w:color="auto" w:sz="4" w:space="0"/>
              <w:right w:val="single" w:color="auto" w:sz="4" w:space="0"/>
            </w:tcBorders>
            <w:shd w:val="clear" w:color="auto" w:fill="auto"/>
            <w:noWrap/>
            <w:vAlign w:val="center"/>
          </w:tcPr>
          <w:p w14:paraId="40287500">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23.01.66X</w:t>
            </w:r>
          </w:p>
        </w:tc>
        <w:tc>
          <w:tcPr>
            <w:tcW w:w="2268" w:type="dxa"/>
            <w:tcBorders>
              <w:top w:val="nil"/>
              <w:left w:val="nil"/>
              <w:bottom w:val="single" w:color="auto" w:sz="4" w:space="0"/>
              <w:right w:val="single" w:color="auto" w:sz="4" w:space="0"/>
            </w:tcBorders>
            <w:shd w:val="clear" w:color="auto" w:fill="auto"/>
            <w:noWrap/>
            <w:vAlign w:val="center"/>
          </w:tcPr>
          <w:p w14:paraId="61F9204A">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23.02.002</w:t>
            </w:r>
          </w:p>
        </w:tc>
      </w:tr>
      <w:tr w14:paraId="1457D557">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60B73AD1">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6</w:t>
            </w:r>
          </w:p>
        </w:tc>
        <w:tc>
          <w:tcPr>
            <w:tcW w:w="2476" w:type="dxa"/>
            <w:tcBorders>
              <w:top w:val="nil"/>
              <w:left w:val="nil"/>
              <w:bottom w:val="single" w:color="auto" w:sz="4" w:space="0"/>
              <w:right w:val="single" w:color="auto" w:sz="4" w:space="0"/>
            </w:tcBorders>
            <w:shd w:val="clear" w:color="auto" w:fill="auto"/>
            <w:noWrap/>
            <w:vAlign w:val="center"/>
          </w:tcPr>
          <w:p w14:paraId="5DADC645">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13.01.66XD(2/3/4)</w:t>
            </w:r>
          </w:p>
        </w:tc>
        <w:tc>
          <w:tcPr>
            <w:tcW w:w="2126" w:type="dxa"/>
            <w:tcBorders>
              <w:top w:val="nil"/>
              <w:left w:val="nil"/>
              <w:bottom w:val="single" w:color="auto" w:sz="4" w:space="0"/>
              <w:right w:val="single" w:color="auto" w:sz="4" w:space="0"/>
            </w:tcBorders>
            <w:shd w:val="clear" w:color="auto" w:fill="auto"/>
            <w:noWrap/>
            <w:vAlign w:val="center"/>
          </w:tcPr>
          <w:p w14:paraId="751DA801">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23.01.66X</w:t>
            </w:r>
          </w:p>
        </w:tc>
        <w:tc>
          <w:tcPr>
            <w:tcW w:w="2268" w:type="dxa"/>
            <w:tcBorders>
              <w:top w:val="nil"/>
              <w:left w:val="nil"/>
              <w:bottom w:val="single" w:color="auto" w:sz="4" w:space="0"/>
              <w:right w:val="single" w:color="auto" w:sz="4" w:space="0"/>
            </w:tcBorders>
            <w:shd w:val="clear" w:color="auto" w:fill="auto"/>
            <w:noWrap/>
            <w:vAlign w:val="center"/>
          </w:tcPr>
          <w:p w14:paraId="45CC9ED9">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23.02.002</w:t>
            </w:r>
          </w:p>
        </w:tc>
      </w:tr>
      <w:tr w14:paraId="3397BDD6">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2B01852C">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7</w:t>
            </w:r>
          </w:p>
        </w:tc>
        <w:tc>
          <w:tcPr>
            <w:tcW w:w="2476" w:type="dxa"/>
            <w:tcBorders>
              <w:top w:val="nil"/>
              <w:left w:val="nil"/>
              <w:bottom w:val="single" w:color="auto" w:sz="4" w:space="0"/>
              <w:right w:val="single" w:color="auto" w:sz="4" w:space="0"/>
            </w:tcBorders>
            <w:shd w:val="clear" w:color="auto" w:fill="auto"/>
            <w:noWrap/>
            <w:vAlign w:val="center"/>
          </w:tcPr>
          <w:p w14:paraId="729ABDEE">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13.01.66XE(2/3/4)</w:t>
            </w:r>
          </w:p>
        </w:tc>
        <w:tc>
          <w:tcPr>
            <w:tcW w:w="2126" w:type="dxa"/>
            <w:tcBorders>
              <w:top w:val="nil"/>
              <w:left w:val="nil"/>
              <w:bottom w:val="single" w:color="auto" w:sz="4" w:space="0"/>
              <w:right w:val="single" w:color="auto" w:sz="4" w:space="0"/>
            </w:tcBorders>
            <w:shd w:val="clear" w:color="auto" w:fill="auto"/>
            <w:noWrap/>
            <w:vAlign w:val="center"/>
          </w:tcPr>
          <w:p w14:paraId="42AC0634">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23.01.66X</w:t>
            </w:r>
          </w:p>
        </w:tc>
        <w:tc>
          <w:tcPr>
            <w:tcW w:w="2268" w:type="dxa"/>
            <w:tcBorders>
              <w:top w:val="nil"/>
              <w:left w:val="nil"/>
              <w:bottom w:val="single" w:color="auto" w:sz="4" w:space="0"/>
              <w:right w:val="single" w:color="auto" w:sz="4" w:space="0"/>
            </w:tcBorders>
            <w:shd w:val="clear" w:color="auto" w:fill="auto"/>
            <w:noWrap/>
            <w:vAlign w:val="center"/>
          </w:tcPr>
          <w:p w14:paraId="271FCDBA">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23.02.002</w:t>
            </w:r>
          </w:p>
        </w:tc>
      </w:tr>
      <w:tr w14:paraId="5E0C7C33">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0CF3EF8F">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8</w:t>
            </w:r>
          </w:p>
        </w:tc>
        <w:tc>
          <w:tcPr>
            <w:tcW w:w="2476" w:type="dxa"/>
            <w:tcBorders>
              <w:top w:val="nil"/>
              <w:left w:val="nil"/>
              <w:bottom w:val="single" w:color="auto" w:sz="4" w:space="0"/>
              <w:right w:val="single" w:color="auto" w:sz="4" w:space="0"/>
            </w:tcBorders>
            <w:shd w:val="clear" w:color="auto" w:fill="auto"/>
            <w:noWrap/>
            <w:vAlign w:val="center"/>
          </w:tcPr>
          <w:p w14:paraId="48128F52">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13.01.66XF(2/3/4)</w:t>
            </w:r>
          </w:p>
        </w:tc>
        <w:tc>
          <w:tcPr>
            <w:tcW w:w="2126" w:type="dxa"/>
            <w:tcBorders>
              <w:top w:val="nil"/>
              <w:left w:val="nil"/>
              <w:bottom w:val="single" w:color="auto" w:sz="4" w:space="0"/>
              <w:right w:val="single" w:color="auto" w:sz="4" w:space="0"/>
            </w:tcBorders>
            <w:shd w:val="clear" w:color="auto" w:fill="auto"/>
            <w:noWrap/>
            <w:vAlign w:val="center"/>
          </w:tcPr>
          <w:p w14:paraId="767AB2D3">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23.01.66XA</w:t>
            </w:r>
          </w:p>
        </w:tc>
        <w:tc>
          <w:tcPr>
            <w:tcW w:w="2268" w:type="dxa"/>
            <w:tcBorders>
              <w:top w:val="nil"/>
              <w:left w:val="nil"/>
              <w:bottom w:val="single" w:color="auto" w:sz="4" w:space="0"/>
              <w:right w:val="single" w:color="auto" w:sz="4" w:space="0"/>
            </w:tcBorders>
            <w:shd w:val="clear" w:color="auto" w:fill="auto"/>
            <w:noWrap/>
            <w:vAlign w:val="center"/>
          </w:tcPr>
          <w:p w14:paraId="6B02A0DF">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23.02.002</w:t>
            </w:r>
          </w:p>
        </w:tc>
      </w:tr>
      <w:tr w14:paraId="75055F74">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366250F1">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9</w:t>
            </w:r>
          </w:p>
        </w:tc>
        <w:tc>
          <w:tcPr>
            <w:tcW w:w="2476" w:type="dxa"/>
            <w:tcBorders>
              <w:top w:val="nil"/>
              <w:left w:val="nil"/>
              <w:bottom w:val="single" w:color="auto" w:sz="4" w:space="0"/>
              <w:right w:val="single" w:color="auto" w:sz="4" w:space="0"/>
            </w:tcBorders>
            <w:shd w:val="clear" w:color="auto" w:fill="auto"/>
            <w:noWrap/>
            <w:vAlign w:val="center"/>
          </w:tcPr>
          <w:p w14:paraId="3BA45649">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13.01.66XH(2/3/4)</w:t>
            </w:r>
          </w:p>
        </w:tc>
        <w:tc>
          <w:tcPr>
            <w:tcW w:w="2126" w:type="dxa"/>
            <w:tcBorders>
              <w:top w:val="nil"/>
              <w:left w:val="nil"/>
              <w:bottom w:val="single" w:color="auto" w:sz="4" w:space="0"/>
              <w:right w:val="single" w:color="auto" w:sz="4" w:space="0"/>
            </w:tcBorders>
            <w:shd w:val="clear" w:color="auto" w:fill="auto"/>
            <w:noWrap/>
            <w:vAlign w:val="center"/>
          </w:tcPr>
          <w:p w14:paraId="2CB8550E">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23.01.66X</w:t>
            </w:r>
          </w:p>
        </w:tc>
        <w:tc>
          <w:tcPr>
            <w:tcW w:w="2268" w:type="dxa"/>
            <w:tcBorders>
              <w:top w:val="nil"/>
              <w:left w:val="nil"/>
              <w:bottom w:val="single" w:color="auto" w:sz="4" w:space="0"/>
              <w:right w:val="single" w:color="auto" w:sz="4" w:space="0"/>
            </w:tcBorders>
            <w:shd w:val="clear" w:color="auto" w:fill="auto"/>
            <w:noWrap/>
            <w:vAlign w:val="center"/>
          </w:tcPr>
          <w:p w14:paraId="04B0D097">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23.02.002</w:t>
            </w:r>
          </w:p>
        </w:tc>
      </w:tr>
      <w:tr w14:paraId="01C7C984">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071A7298">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10</w:t>
            </w:r>
          </w:p>
        </w:tc>
        <w:tc>
          <w:tcPr>
            <w:tcW w:w="2476" w:type="dxa"/>
            <w:tcBorders>
              <w:top w:val="nil"/>
              <w:left w:val="nil"/>
              <w:bottom w:val="single" w:color="auto" w:sz="4" w:space="0"/>
              <w:right w:val="single" w:color="auto" w:sz="4" w:space="0"/>
            </w:tcBorders>
            <w:shd w:val="clear" w:color="auto" w:fill="auto"/>
            <w:noWrap/>
            <w:vAlign w:val="center"/>
          </w:tcPr>
          <w:p w14:paraId="3C51EC28">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13.01.68X(2/3/4)</w:t>
            </w:r>
          </w:p>
        </w:tc>
        <w:tc>
          <w:tcPr>
            <w:tcW w:w="2126" w:type="dxa"/>
            <w:tcBorders>
              <w:top w:val="nil"/>
              <w:left w:val="nil"/>
              <w:bottom w:val="single" w:color="auto" w:sz="4" w:space="0"/>
              <w:right w:val="single" w:color="auto" w:sz="4" w:space="0"/>
            </w:tcBorders>
            <w:shd w:val="clear" w:color="auto" w:fill="auto"/>
            <w:noWrap/>
            <w:vAlign w:val="center"/>
          </w:tcPr>
          <w:p w14:paraId="334092B3">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23.01.68XB</w:t>
            </w:r>
          </w:p>
        </w:tc>
        <w:tc>
          <w:tcPr>
            <w:tcW w:w="2268" w:type="dxa"/>
            <w:tcBorders>
              <w:top w:val="nil"/>
              <w:left w:val="nil"/>
              <w:bottom w:val="single" w:color="auto" w:sz="4" w:space="0"/>
              <w:right w:val="single" w:color="auto" w:sz="4" w:space="0"/>
            </w:tcBorders>
            <w:shd w:val="clear" w:color="auto" w:fill="auto"/>
            <w:noWrap/>
            <w:vAlign w:val="center"/>
          </w:tcPr>
          <w:p w14:paraId="7EBCABBD">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23.02.002</w:t>
            </w:r>
          </w:p>
        </w:tc>
      </w:tr>
      <w:tr w14:paraId="2901E48A">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612F8656">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11</w:t>
            </w:r>
          </w:p>
        </w:tc>
        <w:tc>
          <w:tcPr>
            <w:tcW w:w="2476" w:type="dxa"/>
            <w:tcBorders>
              <w:top w:val="nil"/>
              <w:left w:val="nil"/>
              <w:bottom w:val="single" w:color="auto" w:sz="4" w:space="0"/>
              <w:right w:val="single" w:color="auto" w:sz="4" w:space="0"/>
            </w:tcBorders>
            <w:shd w:val="clear" w:color="auto" w:fill="auto"/>
            <w:noWrap/>
            <w:vAlign w:val="center"/>
          </w:tcPr>
          <w:p w14:paraId="136ECA1F">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13.01.68XD(2/3/4)</w:t>
            </w:r>
          </w:p>
        </w:tc>
        <w:tc>
          <w:tcPr>
            <w:tcW w:w="2126" w:type="dxa"/>
            <w:tcBorders>
              <w:top w:val="nil"/>
              <w:left w:val="nil"/>
              <w:bottom w:val="single" w:color="auto" w:sz="4" w:space="0"/>
              <w:right w:val="single" w:color="auto" w:sz="4" w:space="0"/>
            </w:tcBorders>
            <w:shd w:val="clear" w:color="auto" w:fill="auto"/>
            <w:noWrap/>
            <w:vAlign w:val="center"/>
          </w:tcPr>
          <w:p w14:paraId="68CFABEA">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23.01.68X</w:t>
            </w:r>
          </w:p>
        </w:tc>
        <w:tc>
          <w:tcPr>
            <w:tcW w:w="2268" w:type="dxa"/>
            <w:tcBorders>
              <w:top w:val="nil"/>
              <w:left w:val="nil"/>
              <w:bottom w:val="single" w:color="auto" w:sz="4" w:space="0"/>
              <w:right w:val="single" w:color="auto" w:sz="4" w:space="0"/>
            </w:tcBorders>
            <w:shd w:val="clear" w:color="auto" w:fill="auto"/>
            <w:noWrap/>
            <w:vAlign w:val="center"/>
          </w:tcPr>
          <w:p w14:paraId="31AFBBE7">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23.02.002</w:t>
            </w:r>
          </w:p>
        </w:tc>
      </w:tr>
      <w:tr w14:paraId="68F6766A">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0E64B17B">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12</w:t>
            </w:r>
          </w:p>
        </w:tc>
        <w:tc>
          <w:tcPr>
            <w:tcW w:w="2476" w:type="dxa"/>
            <w:tcBorders>
              <w:top w:val="nil"/>
              <w:left w:val="nil"/>
              <w:bottom w:val="single" w:color="auto" w:sz="4" w:space="0"/>
              <w:right w:val="single" w:color="auto" w:sz="4" w:space="0"/>
            </w:tcBorders>
            <w:shd w:val="clear" w:color="auto" w:fill="auto"/>
            <w:noWrap/>
            <w:vAlign w:val="center"/>
          </w:tcPr>
          <w:p w14:paraId="07EA8DB5">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13.01.68X(1/2/3/4)</w:t>
            </w:r>
          </w:p>
        </w:tc>
        <w:tc>
          <w:tcPr>
            <w:tcW w:w="2126" w:type="dxa"/>
            <w:tcBorders>
              <w:top w:val="nil"/>
              <w:left w:val="nil"/>
              <w:bottom w:val="single" w:color="auto" w:sz="4" w:space="0"/>
              <w:right w:val="single" w:color="auto" w:sz="4" w:space="0"/>
            </w:tcBorders>
            <w:shd w:val="clear" w:color="auto" w:fill="auto"/>
            <w:noWrap/>
            <w:vAlign w:val="center"/>
          </w:tcPr>
          <w:p w14:paraId="76FE996A">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23.01.68XB</w:t>
            </w:r>
          </w:p>
        </w:tc>
        <w:tc>
          <w:tcPr>
            <w:tcW w:w="2268" w:type="dxa"/>
            <w:tcBorders>
              <w:top w:val="nil"/>
              <w:left w:val="nil"/>
              <w:bottom w:val="single" w:color="auto" w:sz="4" w:space="0"/>
              <w:right w:val="single" w:color="auto" w:sz="4" w:space="0"/>
            </w:tcBorders>
            <w:shd w:val="clear" w:color="auto" w:fill="auto"/>
            <w:noWrap/>
            <w:vAlign w:val="center"/>
          </w:tcPr>
          <w:p w14:paraId="233BB1EF">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23.02.002</w:t>
            </w:r>
          </w:p>
        </w:tc>
      </w:tr>
      <w:tr w14:paraId="56596EB6">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0216078C">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w:t>
            </w:r>
          </w:p>
        </w:tc>
        <w:tc>
          <w:tcPr>
            <w:tcW w:w="2476" w:type="dxa"/>
            <w:tcBorders>
              <w:top w:val="nil"/>
              <w:left w:val="nil"/>
              <w:bottom w:val="single" w:color="auto" w:sz="4" w:space="0"/>
              <w:right w:val="single" w:color="auto" w:sz="4" w:space="0"/>
            </w:tcBorders>
            <w:shd w:val="clear" w:color="auto" w:fill="auto"/>
            <w:noWrap/>
            <w:vAlign w:val="center"/>
          </w:tcPr>
          <w:p w14:paraId="0A75775E">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13.01.68XM(1/2/3/4)</w:t>
            </w:r>
          </w:p>
        </w:tc>
        <w:tc>
          <w:tcPr>
            <w:tcW w:w="2126" w:type="dxa"/>
            <w:tcBorders>
              <w:top w:val="nil"/>
              <w:left w:val="nil"/>
              <w:bottom w:val="single" w:color="auto" w:sz="4" w:space="0"/>
              <w:right w:val="single" w:color="auto" w:sz="4" w:space="0"/>
            </w:tcBorders>
            <w:shd w:val="clear" w:color="auto" w:fill="auto"/>
            <w:noWrap/>
            <w:vAlign w:val="center"/>
          </w:tcPr>
          <w:p w14:paraId="5733493D">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23.01.68XB</w:t>
            </w:r>
          </w:p>
        </w:tc>
        <w:tc>
          <w:tcPr>
            <w:tcW w:w="2268" w:type="dxa"/>
            <w:tcBorders>
              <w:top w:val="nil"/>
              <w:left w:val="nil"/>
              <w:bottom w:val="single" w:color="auto" w:sz="4" w:space="0"/>
              <w:right w:val="single" w:color="auto" w:sz="4" w:space="0"/>
            </w:tcBorders>
            <w:shd w:val="clear" w:color="auto" w:fill="auto"/>
            <w:noWrap/>
            <w:vAlign w:val="center"/>
          </w:tcPr>
          <w:p w14:paraId="1DF473CF">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23.02.005M</w:t>
            </w:r>
          </w:p>
        </w:tc>
      </w:tr>
      <w:tr w14:paraId="1AF2B1F4">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3EAFEF83">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14</w:t>
            </w:r>
          </w:p>
        </w:tc>
        <w:tc>
          <w:tcPr>
            <w:tcW w:w="2476" w:type="dxa"/>
            <w:tcBorders>
              <w:top w:val="nil"/>
              <w:left w:val="nil"/>
              <w:bottom w:val="single" w:color="auto" w:sz="4" w:space="0"/>
              <w:right w:val="single" w:color="auto" w:sz="4" w:space="0"/>
            </w:tcBorders>
            <w:shd w:val="clear" w:color="auto" w:fill="auto"/>
            <w:noWrap/>
            <w:vAlign w:val="center"/>
          </w:tcPr>
          <w:p w14:paraId="6D7D04C7">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13.01.69X(1/2/3/4)</w:t>
            </w:r>
          </w:p>
        </w:tc>
        <w:tc>
          <w:tcPr>
            <w:tcW w:w="2126" w:type="dxa"/>
            <w:tcBorders>
              <w:top w:val="nil"/>
              <w:left w:val="nil"/>
              <w:bottom w:val="single" w:color="auto" w:sz="4" w:space="0"/>
              <w:right w:val="single" w:color="auto" w:sz="4" w:space="0"/>
            </w:tcBorders>
            <w:shd w:val="clear" w:color="auto" w:fill="auto"/>
            <w:noWrap/>
            <w:vAlign w:val="center"/>
          </w:tcPr>
          <w:p w14:paraId="365A0028">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23.01.69X</w:t>
            </w:r>
          </w:p>
        </w:tc>
        <w:tc>
          <w:tcPr>
            <w:tcW w:w="2268" w:type="dxa"/>
            <w:tcBorders>
              <w:top w:val="nil"/>
              <w:left w:val="nil"/>
              <w:bottom w:val="single" w:color="auto" w:sz="4" w:space="0"/>
              <w:right w:val="single" w:color="auto" w:sz="4" w:space="0"/>
            </w:tcBorders>
            <w:shd w:val="clear" w:color="auto" w:fill="auto"/>
            <w:noWrap/>
            <w:vAlign w:val="center"/>
          </w:tcPr>
          <w:p w14:paraId="458BC44C">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23.02.002</w:t>
            </w:r>
          </w:p>
        </w:tc>
      </w:tr>
      <w:tr w14:paraId="7CD00F7F">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73967BA1">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15</w:t>
            </w:r>
          </w:p>
        </w:tc>
        <w:tc>
          <w:tcPr>
            <w:tcW w:w="2476" w:type="dxa"/>
            <w:tcBorders>
              <w:top w:val="nil"/>
              <w:left w:val="nil"/>
              <w:bottom w:val="single" w:color="auto" w:sz="4" w:space="0"/>
              <w:right w:val="single" w:color="auto" w:sz="4" w:space="0"/>
            </w:tcBorders>
            <w:shd w:val="clear" w:color="auto" w:fill="auto"/>
            <w:noWrap/>
            <w:vAlign w:val="center"/>
          </w:tcPr>
          <w:p w14:paraId="007CABFA">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13.01.68XH(2/3/4)</w:t>
            </w:r>
          </w:p>
        </w:tc>
        <w:tc>
          <w:tcPr>
            <w:tcW w:w="2126" w:type="dxa"/>
            <w:tcBorders>
              <w:top w:val="nil"/>
              <w:left w:val="nil"/>
              <w:bottom w:val="single" w:color="auto" w:sz="4" w:space="0"/>
              <w:right w:val="single" w:color="auto" w:sz="4" w:space="0"/>
            </w:tcBorders>
            <w:shd w:val="clear" w:color="auto" w:fill="auto"/>
            <w:noWrap/>
            <w:vAlign w:val="center"/>
          </w:tcPr>
          <w:p w14:paraId="7120A350">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23.01.68X</w:t>
            </w:r>
          </w:p>
        </w:tc>
        <w:tc>
          <w:tcPr>
            <w:tcW w:w="2268" w:type="dxa"/>
            <w:tcBorders>
              <w:top w:val="nil"/>
              <w:left w:val="nil"/>
              <w:bottom w:val="single" w:color="auto" w:sz="4" w:space="0"/>
              <w:right w:val="single" w:color="auto" w:sz="4" w:space="0"/>
            </w:tcBorders>
            <w:shd w:val="clear" w:color="auto" w:fill="auto"/>
            <w:noWrap/>
            <w:vAlign w:val="center"/>
          </w:tcPr>
          <w:p w14:paraId="27174CCB">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23.02.002</w:t>
            </w:r>
          </w:p>
        </w:tc>
      </w:tr>
      <w:tr w14:paraId="5BB1C747">
        <w:tblPrEx>
          <w:tblCellMar>
            <w:top w:w="0" w:type="dxa"/>
            <w:left w:w="108" w:type="dxa"/>
            <w:bottom w:w="0" w:type="dxa"/>
            <w:right w:w="108" w:type="dxa"/>
          </w:tblCellMar>
        </w:tblPrEx>
        <w:trPr>
          <w:trHeight w:val="499" w:hRule="atLeast"/>
        </w:trPr>
        <w:tc>
          <w:tcPr>
            <w:tcW w:w="1080" w:type="dxa"/>
            <w:tcBorders>
              <w:top w:val="nil"/>
              <w:left w:val="single" w:color="auto" w:sz="4" w:space="0"/>
              <w:bottom w:val="single" w:color="auto" w:sz="4" w:space="0"/>
              <w:right w:val="single" w:color="auto" w:sz="4" w:space="0"/>
            </w:tcBorders>
            <w:shd w:val="clear" w:color="auto" w:fill="auto"/>
            <w:noWrap/>
            <w:vAlign w:val="center"/>
          </w:tcPr>
          <w:p w14:paraId="7117B0D1">
            <w:pPr>
              <w:widowControl/>
              <w:jc w:val="center"/>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16</w:t>
            </w:r>
          </w:p>
        </w:tc>
        <w:tc>
          <w:tcPr>
            <w:tcW w:w="2476" w:type="dxa"/>
            <w:tcBorders>
              <w:top w:val="nil"/>
              <w:left w:val="nil"/>
              <w:bottom w:val="single" w:color="auto" w:sz="4" w:space="0"/>
              <w:right w:val="single" w:color="auto" w:sz="4" w:space="0"/>
            </w:tcBorders>
            <w:shd w:val="clear" w:color="auto" w:fill="auto"/>
            <w:noWrap/>
            <w:vAlign w:val="center"/>
          </w:tcPr>
          <w:p w14:paraId="614B7485">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13.01.693M</w:t>
            </w:r>
          </w:p>
        </w:tc>
        <w:tc>
          <w:tcPr>
            <w:tcW w:w="2126" w:type="dxa"/>
            <w:tcBorders>
              <w:top w:val="nil"/>
              <w:left w:val="nil"/>
              <w:bottom w:val="single" w:color="auto" w:sz="4" w:space="0"/>
              <w:right w:val="single" w:color="auto" w:sz="4" w:space="0"/>
            </w:tcBorders>
            <w:shd w:val="clear" w:color="auto" w:fill="auto"/>
            <w:noWrap/>
            <w:vAlign w:val="center"/>
          </w:tcPr>
          <w:p w14:paraId="3736E3FA">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23.01.693</w:t>
            </w:r>
          </w:p>
        </w:tc>
        <w:tc>
          <w:tcPr>
            <w:tcW w:w="2268" w:type="dxa"/>
            <w:tcBorders>
              <w:top w:val="nil"/>
              <w:left w:val="nil"/>
              <w:bottom w:val="single" w:color="auto" w:sz="4" w:space="0"/>
              <w:right w:val="single" w:color="auto" w:sz="4" w:space="0"/>
            </w:tcBorders>
            <w:shd w:val="clear" w:color="auto" w:fill="auto"/>
            <w:noWrap/>
            <w:vAlign w:val="center"/>
          </w:tcPr>
          <w:p w14:paraId="4CA908C2">
            <w:pPr>
              <w:widowControl/>
              <w:jc w:val="left"/>
              <w:rPr>
                <w:rFonts w:ascii="宋体" w:hAnsi="宋体" w:eastAsia="宋体" w:cs="宋体"/>
                <w:color w:val="000000"/>
                <w:kern w:val="0"/>
                <w:sz w:val="22"/>
                <w:szCs w:val="22"/>
                <w:lang w:val="en-US" w:eastAsia="zh-CN" w:bidi="ar-SA"/>
              </w:rPr>
            </w:pPr>
            <w:r>
              <w:rPr>
                <w:rFonts w:hint="eastAsia" w:ascii="宋体" w:hAnsi="宋体" w:cs="宋体"/>
                <w:color w:val="000000"/>
                <w:kern w:val="0"/>
                <w:sz w:val="22"/>
                <w:szCs w:val="22"/>
              </w:rPr>
              <w:t>23.02.005M</w:t>
            </w:r>
          </w:p>
        </w:tc>
      </w:tr>
    </w:tbl>
    <w:p w14:paraId="124864A9">
      <w:pPr>
        <w:numPr>
          <w:ilvl w:val="0"/>
          <w:numId w:val="0"/>
        </w:numPr>
        <w:overflowPunct w:val="0"/>
        <w:ind w:left="0" w:firstLine="872" w:firstLineChars="400"/>
        <w:rPr>
          <w:rFonts w:ascii="宋体" w:hAnsi="宋体" w:cs="宋体"/>
          <w:spacing w:val="4"/>
          <w:szCs w:val="21"/>
          <w:highlight w:val="none"/>
        </w:rPr>
      </w:pPr>
      <w:r>
        <w:rPr>
          <w:rFonts w:hint="eastAsia" w:ascii="宋体" w:hAnsi="宋体" w:cs="宋体"/>
          <w:spacing w:val="4"/>
          <w:szCs w:val="21"/>
          <w:highlight w:val="none"/>
        </w:rPr>
        <w:t>接线柱</w:t>
      </w:r>
      <w:r>
        <w:rPr>
          <w:rFonts w:ascii="宋体" w:hAnsi="宋体" w:cs="宋体"/>
          <w:spacing w:val="4"/>
          <w:szCs w:val="21"/>
          <w:highlight w:val="none"/>
        </w:rPr>
        <w:t>/铜管自动化改造产品图纸清单</w:t>
      </w:r>
    </w:p>
    <w:tbl>
      <w:tblPr>
        <w:tblStyle w:val="44"/>
        <w:tblW w:w="7938" w:type="dxa"/>
        <w:tblInd w:w="959" w:type="dxa"/>
        <w:tblLayout w:type="autofit"/>
        <w:tblCellMar>
          <w:top w:w="0" w:type="dxa"/>
          <w:left w:w="108" w:type="dxa"/>
          <w:bottom w:w="0" w:type="dxa"/>
          <w:right w:w="108" w:type="dxa"/>
        </w:tblCellMar>
      </w:tblPr>
      <w:tblGrid>
        <w:gridCol w:w="992"/>
        <w:gridCol w:w="2552"/>
        <w:gridCol w:w="2126"/>
        <w:gridCol w:w="2268"/>
      </w:tblGrid>
      <w:tr w14:paraId="4B195EF6">
        <w:tblPrEx>
          <w:tblCellMar>
            <w:top w:w="0" w:type="dxa"/>
            <w:left w:w="108" w:type="dxa"/>
            <w:bottom w:w="0" w:type="dxa"/>
            <w:right w:w="108" w:type="dxa"/>
          </w:tblCellMar>
        </w:tblPrEx>
        <w:trPr>
          <w:trHeight w:val="270" w:hRule="atLeast"/>
        </w:trPr>
        <w:tc>
          <w:tcPr>
            <w:tcW w:w="992" w:type="dxa"/>
            <w:tcBorders>
              <w:top w:val="single" w:color="auto" w:sz="4" w:space="0"/>
              <w:left w:val="single" w:color="auto" w:sz="4" w:space="0"/>
              <w:bottom w:val="single" w:color="auto" w:sz="4" w:space="0"/>
              <w:right w:val="single" w:color="auto" w:sz="4" w:space="0"/>
            </w:tcBorders>
            <w:shd w:val="clear" w:color="auto" w:fill="auto"/>
            <w:noWrap/>
            <w:vAlign w:val="bottom"/>
          </w:tcPr>
          <w:p w14:paraId="5504333B">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2552" w:type="dxa"/>
            <w:tcBorders>
              <w:top w:val="single" w:color="auto" w:sz="4" w:space="0"/>
              <w:left w:val="nil"/>
              <w:bottom w:val="single" w:color="auto" w:sz="4" w:space="0"/>
              <w:right w:val="single" w:color="auto" w:sz="4" w:space="0"/>
            </w:tcBorders>
            <w:shd w:val="clear" w:color="auto" w:fill="auto"/>
            <w:noWrap/>
            <w:vAlign w:val="center"/>
          </w:tcPr>
          <w:p w14:paraId="3F993BDE">
            <w:pPr>
              <w:widowControl/>
              <w:jc w:val="center"/>
              <w:rPr>
                <w:rFonts w:ascii="宋体" w:hAnsi="宋体" w:cs="宋体"/>
                <w:color w:val="000000"/>
                <w:kern w:val="0"/>
                <w:sz w:val="22"/>
                <w:szCs w:val="22"/>
              </w:rPr>
            </w:pPr>
            <w:r>
              <w:rPr>
                <w:rFonts w:hint="eastAsia" w:ascii="宋体" w:hAnsi="宋体" w:cs="宋体"/>
                <w:color w:val="000000"/>
                <w:kern w:val="0"/>
                <w:sz w:val="22"/>
                <w:szCs w:val="22"/>
              </w:rPr>
              <w:t>零件名称</w:t>
            </w:r>
          </w:p>
        </w:tc>
        <w:tc>
          <w:tcPr>
            <w:tcW w:w="2126" w:type="dxa"/>
            <w:tcBorders>
              <w:top w:val="single" w:color="auto" w:sz="4" w:space="0"/>
              <w:left w:val="nil"/>
              <w:bottom w:val="single" w:color="auto" w:sz="4" w:space="0"/>
              <w:right w:val="single" w:color="auto" w:sz="4" w:space="0"/>
            </w:tcBorders>
            <w:shd w:val="clear" w:color="auto" w:fill="auto"/>
            <w:noWrap/>
            <w:vAlign w:val="center"/>
          </w:tcPr>
          <w:p w14:paraId="6EB7EF8A">
            <w:pPr>
              <w:widowControl/>
              <w:jc w:val="center"/>
              <w:rPr>
                <w:rFonts w:ascii="宋体" w:hAnsi="宋体" w:cs="宋体"/>
                <w:color w:val="000000"/>
                <w:kern w:val="0"/>
                <w:sz w:val="22"/>
                <w:szCs w:val="22"/>
              </w:rPr>
            </w:pPr>
            <w:r>
              <w:rPr>
                <w:rFonts w:hint="eastAsia" w:ascii="宋体" w:hAnsi="宋体" w:cs="宋体"/>
                <w:color w:val="000000"/>
                <w:kern w:val="0"/>
                <w:sz w:val="22"/>
                <w:szCs w:val="22"/>
              </w:rPr>
              <w:t>型号</w:t>
            </w:r>
          </w:p>
        </w:tc>
        <w:tc>
          <w:tcPr>
            <w:tcW w:w="2268" w:type="dxa"/>
            <w:tcBorders>
              <w:top w:val="single" w:color="auto" w:sz="4" w:space="0"/>
              <w:left w:val="nil"/>
              <w:bottom w:val="single" w:color="auto" w:sz="4" w:space="0"/>
              <w:right w:val="single" w:color="auto" w:sz="4" w:space="0"/>
            </w:tcBorders>
            <w:shd w:val="clear" w:color="auto" w:fill="auto"/>
            <w:noWrap/>
            <w:vAlign w:val="center"/>
          </w:tcPr>
          <w:p w14:paraId="0313DE3D">
            <w:pPr>
              <w:widowControl/>
              <w:jc w:val="left"/>
              <w:rPr>
                <w:rFonts w:ascii="宋体" w:hAnsi="宋体" w:cs="宋体"/>
                <w:color w:val="000000"/>
                <w:kern w:val="0"/>
                <w:sz w:val="22"/>
                <w:szCs w:val="22"/>
              </w:rPr>
            </w:pPr>
            <w:r>
              <w:rPr>
                <w:rFonts w:hint="eastAsia" w:ascii="宋体" w:hAnsi="宋体" w:cs="宋体"/>
                <w:color w:val="000000"/>
                <w:kern w:val="0"/>
                <w:sz w:val="22"/>
                <w:szCs w:val="22"/>
              </w:rPr>
              <w:t>备注</w:t>
            </w:r>
          </w:p>
        </w:tc>
      </w:tr>
      <w:tr w14:paraId="10B858FA">
        <w:tblPrEx>
          <w:tblCellMar>
            <w:top w:w="0" w:type="dxa"/>
            <w:left w:w="108" w:type="dxa"/>
            <w:bottom w:w="0" w:type="dxa"/>
            <w:right w:w="108" w:type="dxa"/>
          </w:tblCellMar>
        </w:tblPrEx>
        <w:trPr>
          <w:trHeight w:val="270" w:hRule="atLeast"/>
        </w:trPr>
        <w:tc>
          <w:tcPr>
            <w:tcW w:w="992" w:type="dxa"/>
            <w:vMerge w:val="restart"/>
            <w:tcBorders>
              <w:top w:val="nil"/>
              <w:left w:val="single" w:color="auto" w:sz="4" w:space="0"/>
              <w:bottom w:val="single" w:color="auto" w:sz="4" w:space="0"/>
              <w:right w:val="single" w:color="auto" w:sz="4" w:space="0"/>
            </w:tcBorders>
            <w:shd w:val="clear" w:color="auto" w:fill="auto"/>
            <w:noWrap/>
            <w:vAlign w:val="center"/>
          </w:tcPr>
          <w:p w14:paraId="66214245">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2552" w:type="dxa"/>
            <w:vMerge w:val="restart"/>
            <w:tcBorders>
              <w:top w:val="nil"/>
              <w:left w:val="single" w:color="auto" w:sz="4" w:space="0"/>
              <w:bottom w:val="single" w:color="auto" w:sz="4" w:space="0"/>
              <w:right w:val="single" w:color="auto" w:sz="4" w:space="0"/>
            </w:tcBorders>
            <w:shd w:val="clear" w:color="auto" w:fill="auto"/>
            <w:noWrap/>
            <w:vAlign w:val="center"/>
          </w:tcPr>
          <w:p w14:paraId="753DB95B">
            <w:pPr>
              <w:widowControl/>
              <w:jc w:val="center"/>
              <w:rPr>
                <w:rFonts w:ascii="宋体" w:hAnsi="宋体" w:cs="宋体"/>
                <w:color w:val="000000"/>
                <w:kern w:val="0"/>
                <w:sz w:val="22"/>
                <w:szCs w:val="22"/>
              </w:rPr>
            </w:pPr>
            <w:r>
              <w:rPr>
                <w:rFonts w:hint="eastAsia" w:ascii="宋体" w:hAnsi="宋体" w:cs="宋体"/>
                <w:color w:val="000000"/>
                <w:kern w:val="0"/>
                <w:sz w:val="22"/>
                <w:szCs w:val="22"/>
              </w:rPr>
              <w:t>下壳体</w:t>
            </w:r>
          </w:p>
        </w:tc>
        <w:tc>
          <w:tcPr>
            <w:tcW w:w="2126" w:type="dxa"/>
            <w:tcBorders>
              <w:top w:val="nil"/>
              <w:left w:val="nil"/>
              <w:bottom w:val="single" w:color="auto" w:sz="4" w:space="0"/>
              <w:right w:val="single" w:color="auto" w:sz="4" w:space="0"/>
            </w:tcBorders>
            <w:shd w:val="clear" w:color="auto" w:fill="auto"/>
            <w:noWrap/>
            <w:vAlign w:val="center"/>
          </w:tcPr>
          <w:p w14:paraId="69B5A5D0">
            <w:pPr>
              <w:widowControl/>
              <w:jc w:val="left"/>
              <w:rPr>
                <w:rFonts w:ascii="宋体" w:hAnsi="宋体" w:cs="宋体"/>
                <w:color w:val="000000"/>
                <w:kern w:val="0"/>
                <w:sz w:val="22"/>
                <w:szCs w:val="22"/>
              </w:rPr>
            </w:pPr>
            <w:r>
              <w:rPr>
                <w:rFonts w:hint="eastAsia" w:ascii="宋体" w:hAnsi="宋体" w:cs="宋体"/>
                <w:color w:val="000000"/>
                <w:kern w:val="0"/>
                <w:sz w:val="22"/>
                <w:szCs w:val="22"/>
              </w:rPr>
              <w:t>23.03.552X</w:t>
            </w:r>
          </w:p>
        </w:tc>
        <w:tc>
          <w:tcPr>
            <w:tcW w:w="2268" w:type="dxa"/>
            <w:tcBorders>
              <w:top w:val="nil"/>
              <w:left w:val="nil"/>
              <w:bottom w:val="single" w:color="auto" w:sz="4" w:space="0"/>
              <w:right w:val="single" w:color="auto" w:sz="4" w:space="0"/>
            </w:tcBorders>
            <w:shd w:val="clear" w:color="auto" w:fill="auto"/>
            <w:noWrap/>
            <w:vAlign w:val="center"/>
          </w:tcPr>
          <w:p w14:paraId="2812163F">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581320AF">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0052F40D">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3838943A">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4B9C462A">
            <w:pPr>
              <w:widowControl/>
              <w:jc w:val="left"/>
              <w:rPr>
                <w:rFonts w:ascii="宋体" w:hAnsi="宋体" w:cs="宋体"/>
                <w:color w:val="000000"/>
                <w:kern w:val="0"/>
                <w:sz w:val="22"/>
                <w:szCs w:val="22"/>
              </w:rPr>
            </w:pPr>
            <w:r>
              <w:rPr>
                <w:rFonts w:hint="eastAsia" w:ascii="宋体" w:hAnsi="宋体" w:cs="宋体"/>
                <w:color w:val="000000"/>
                <w:kern w:val="0"/>
                <w:sz w:val="22"/>
                <w:szCs w:val="22"/>
              </w:rPr>
              <w:t>23.03.560AX</w:t>
            </w:r>
          </w:p>
        </w:tc>
        <w:tc>
          <w:tcPr>
            <w:tcW w:w="2268" w:type="dxa"/>
            <w:tcBorders>
              <w:top w:val="nil"/>
              <w:left w:val="nil"/>
              <w:bottom w:val="single" w:color="auto" w:sz="4" w:space="0"/>
              <w:right w:val="single" w:color="auto" w:sz="4" w:space="0"/>
            </w:tcBorders>
            <w:shd w:val="clear" w:color="auto" w:fill="auto"/>
            <w:noWrap/>
            <w:vAlign w:val="center"/>
          </w:tcPr>
          <w:p w14:paraId="36D54FF7">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370111C3">
        <w:tblPrEx>
          <w:tblCellMar>
            <w:top w:w="0" w:type="dxa"/>
            <w:left w:w="108" w:type="dxa"/>
            <w:bottom w:w="0" w:type="dxa"/>
            <w:right w:w="108" w:type="dxa"/>
          </w:tblCellMar>
        </w:tblPrEx>
        <w:trPr>
          <w:trHeight w:val="270" w:hRule="atLeast"/>
        </w:trPr>
        <w:tc>
          <w:tcPr>
            <w:tcW w:w="992" w:type="dxa"/>
            <w:vMerge w:val="restart"/>
            <w:tcBorders>
              <w:top w:val="nil"/>
              <w:left w:val="single" w:color="auto" w:sz="4" w:space="0"/>
              <w:bottom w:val="single" w:color="auto" w:sz="4" w:space="0"/>
              <w:right w:val="single" w:color="auto" w:sz="4" w:space="0"/>
            </w:tcBorders>
            <w:shd w:val="clear" w:color="auto" w:fill="auto"/>
            <w:noWrap/>
            <w:vAlign w:val="center"/>
          </w:tcPr>
          <w:p w14:paraId="2343FFE0">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2552" w:type="dxa"/>
            <w:vMerge w:val="restart"/>
            <w:tcBorders>
              <w:top w:val="nil"/>
              <w:left w:val="single" w:color="auto" w:sz="4" w:space="0"/>
              <w:bottom w:val="single" w:color="auto" w:sz="4" w:space="0"/>
              <w:right w:val="single" w:color="auto" w:sz="4" w:space="0"/>
            </w:tcBorders>
            <w:shd w:val="clear" w:color="auto" w:fill="auto"/>
            <w:noWrap/>
            <w:vAlign w:val="center"/>
          </w:tcPr>
          <w:p w14:paraId="14046089">
            <w:pPr>
              <w:widowControl/>
              <w:jc w:val="center"/>
              <w:rPr>
                <w:rFonts w:ascii="宋体" w:hAnsi="宋体" w:cs="宋体"/>
                <w:color w:val="000000"/>
                <w:kern w:val="0"/>
                <w:sz w:val="22"/>
                <w:szCs w:val="22"/>
              </w:rPr>
            </w:pPr>
            <w:r>
              <w:rPr>
                <w:rFonts w:hint="eastAsia" w:ascii="宋体" w:hAnsi="宋体" w:cs="宋体"/>
                <w:color w:val="000000"/>
                <w:kern w:val="0"/>
                <w:sz w:val="22"/>
                <w:szCs w:val="22"/>
              </w:rPr>
              <w:t>接线柱</w:t>
            </w:r>
          </w:p>
        </w:tc>
        <w:tc>
          <w:tcPr>
            <w:tcW w:w="2126" w:type="dxa"/>
            <w:tcBorders>
              <w:top w:val="nil"/>
              <w:left w:val="nil"/>
              <w:bottom w:val="single" w:color="auto" w:sz="4" w:space="0"/>
              <w:right w:val="single" w:color="auto" w:sz="4" w:space="0"/>
            </w:tcBorders>
            <w:shd w:val="clear" w:color="auto" w:fill="auto"/>
            <w:noWrap/>
            <w:vAlign w:val="center"/>
          </w:tcPr>
          <w:p w14:paraId="1AD51741">
            <w:pPr>
              <w:widowControl/>
              <w:jc w:val="left"/>
              <w:rPr>
                <w:rFonts w:ascii="宋体" w:hAnsi="宋体" w:cs="宋体"/>
                <w:color w:val="000000"/>
                <w:kern w:val="0"/>
                <w:sz w:val="22"/>
                <w:szCs w:val="22"/>
              </w:rPr>
            </w:pPr>
            <w:r>
              <w:rPr>
                <w:rFonts w:hint="eastAsia" w:ascii="宋体" w:hAnsi="宋体" w:cs="宋体"/>
                <w:color w:val="000000"/>
                <w:kern w:val="0"/>
                <w:sz w:val="22"/>
                <w:szCs w:val="22"/>
              </w:rPr>
              <w:t>23.04.003</w:t>
            </w:r>
          </w:p>
        </w:tc>
        <w:tc>
          <w:tcPr>
            <w:tcW w:w="2268" w:type="dxa"/>
            <w:tcBorders>
              <w:top w:val="nil"/>
              <w:left w:val="nil"/>
              <w:bottom w:val="single" w:color="auto" w:sz="4" w:space="0"/>
              <w:right w:val="single" w:color="auto" w:sz="4" w:space="0"/>
            </w:tcBorders>
            <w:shd w:val="clear" w:color="auto" w:fill="auto"/>
            <w:noWrap/>
            <w:vAlign w:val="center"/>
          </w:tcPr>
          <w:p w14:paraId="3AC0FA46">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1883E589">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530D7995">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7C89010B">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1055E797">
            <w:pPr>
              <w:widowControl/>
              <w:jc w:val="left"/>
              <w:rPr>
                <w:rFonts w:ascii="宋体" w:hAnsi="宋体" w:cs="宋体"/>
                <w:color w:val="000000"/>
                <w:kern w:val="0"/>
                <w:sz w:val="22"/>
                <w:szCs w:val="22"/>
              </w:rPr>
            </w:pPr>
            <w:r>
              <w:rPr>
                <w:rFonts w:hint="eastAsia" w:ascii="宋体" w:hAnsi="宋体" w:cs="宋体"/>
                <w:color w:val="000000"/>
                <w:kern w:val="0"/>
                <w:sz w:val="22"/>
                <w:szCs w:val="22"/>
              </w:rPr>
              <w:t>23.04.007</w:t>
            </w:r>
          </w:p>
        </w:tc>
        <w:tc>
          <w:tcPr>
            <w:tcW w:w="2268" w:type="dxa"/>
            <w:tcBorders>
              <w:top w:val="nil"/>
              <w:left w:val="nil"/>
              <w:bottom w:val="single" w:color="auto" w:sz="4" w:space="0"/>
              <w:right w:val="single" w:color="auto" w:sz="4" w:space="0"/>
            </w:tcBorders>
            <w:shd w:val="clear" w:color="auto" w:fill="auto"/>
            <w:noWrap/>
            <w:vAlign w:val="center"/>
          </w:tcPr>
          <w:p w14:paraId="27C505F0">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06F6837B">
        <w:tblPrEx>
          <w:tblCellMar>
            <w:top w:w="0" w:type="dxa"/>
            <w:left w:w="108" w:type="dxa"/>
            <w:bottom w:w="0" w:type="dxa"/>
            <w:right w:w="108" w:type="dxa"/>
          </w:tblCellMar>
        </w:tblPrEx>
        <w:trPr>
          <w:trHeight w:val="270" w:hRule="atLeast"/>
        </w:trPr>
        <w:tc>
          <w:tcPr>
            <w:tcW w:w="992" w:type="dxa"/>
            <w:vMerge w:val="restart"/>
            <w:tcBorders>
              <w:top w:val="nil"/>
              <w:left w:val="single" w:color="auto" w:sz="4" w:space="0"/>
              <w:bottom w:val="single" w:color="auto" w:sz="4" w:space="0"/>
              <w:right w:val="single" w:color="auto" w:sz="4" w:space="0"/>
            </w:tcBorders>
            <w:shd w:val="clear" w:color="auto" w:fill="auto"/>
            <w:noWrap/>
            <w:vAlign w:val="center"/>
          </w:tcPr>
          <w:p w14:paraId="377262C9">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2552" w:type="dxa"/>
            <w:vMerge w:val="restart"/>
            <w:tcBorders>
              <w:top w:val="nil"/>
              <w:left w:val="single" w:color="auto" w:sz="4" w:space="0"/>
              <w:bottom w:val="single" w:color="auto" w:sz="4" w:space="0"/>
              <w:right w:val="single" w:color="auto" w:sz="4" w:space="0"/>
            </w:tcBorders>
            <w:shd w:val="clear" w:color="auto" w:fill="auto"/>
            <w:noWrap/>
            <w:vAlign w:val="center"/>
          </w:tcPr>
          <w:p w14:paraId="67B95399">
            <w:pPr>
              <w:widowControl/>
              <w:jc w:val="center"/>
              <w:rPr>
                <w:rFonts w:ascii="宋体" w:hAnsi="宋体" w:cs="宋体"/>
                <w:color w:val="000000"/>
                <w:kern w:val="0"/>
                <w:sz w:val="22"/>
                <w:szCs w:val="22"/>
              </w:rPr>
            </w:pPr>
            <w:r>
              <w:rPr>
                <w:rFonts w:hint="eastAsia" w:ascii="宋体" w:hAnsi="宋体" w:cs="宋体"/>
                <w:color w:val="000000"/>
                <w:kern w:val="0"/>
                <w:sz w:val="22"/>
                <w:szCs w:val="22"/>
              </w:rPr>
              <w:t>工艺管</w:t>
            </w:r>
          </w:p>
        </w:tc>
        <w:tc>
          <w:tcPr>
            <w:tcW w:w="2126" w:type="dxa"/>
            <w:tcBorders>
              <w:top w:val="nil"/>
              <w:left w:val="nil"/>
              <w:bottom w:val="single" w:color="auto" w:sz="4" w:space="0"/>
              <w:right w:val="single" w:color="auto" w:sz="4" w:space="0"/>
            </w:tcBorders>
            <w:shd w:val="clear" w:color="auto" w:fill="auto"/>
            <w:noWrap/>
            <w:vAlign w:val="center"/>
          </w:tcPr>
          <w:p w14:paraId="72A5FA60">
            <w:pPr>
              <w:widowControl/>
              <w:jc w:val="left"/>
              <w:rPr>
                <w:rFonts w:ascii="宋体" w:hAnsi="宋体" w:cs="宋体"/>
                <w:color w:val="000000"/>
                <w:kern w:val="0"/>
                <w:sz w:val="22"/>
                <w:szCs w:val="22"/>
              </w:rPr>
            </w:pPr>
            <w:r>
              <w:rPr>
                <w:rFonts w:hint="eastAsia" w:ascii="宋体" w:hAnsi="宋体" w:cs="宋体"/>
                <w:color w:val="000000"/>
                <w:kern w:val="0"/>
                <w:sz w:val="22"/>
                <w:szCs w:val="22"/>
              </w:rPr>
              <w:t>23.07.301F</w:t>
            </w:r>
          </w:p>
        </w:tc>
        <w:tc>
          <w:tcPr>
            <w:tcW w:w="2268" w:type="dxa"/>
            <w:tcBorders>
              <w:top w:val="nil"/>
              <w:left w:val="nil"/>
              <w:bottom w:val="single" w:color="auto" w:sz="4" w:space="0"/>
              <w:right w:val="single" w:color="auto" w:sz="4" w:space="0"/>
            </w:tcBorders>
            <w:shd w:val="clear" w:color="auto" w:fill="auto"/>
            <w:noWrap/>
            <w:vAlign w:val="center"/>
          </w:tcPr>
          <w:p w14:paraId="4C04AC70">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002D66E8">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239589FD">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173CF1FB">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3081036C">
            <w:pPr>
              <w:widowControl/>
              <w:jc w:val="left"/>
              <w:rPr>
                <w:rFonts w:ascii="宋体" w:hAnsi="宋体" w:cs="宋体"/>
                <w:color w:val="000000"/>
                <w:kern w:val="0"/>
                <w:sz w:val="22"/>
                <w:szCs w:val="22"/>
              </w:rPr>
            </w:pPr>
            <w:r>
              <w:rPr>
                <w:rFonts w:hint="eastAsia" w:ascii="宋体" w:hAnsi="宋体" w:cs="宋体"/>
                <w:color w:val="000000"/>
                <w:kern w:val="0"/>
                <w:sz w:val="22"/>
                <w:szCs w:val="22"/>
              </w:rPr>
              <w:t>23.07.301S</w:t>
            </w:r>
          </w:p>
        </w:tc>
        <w:tc>
          <w:tcPr>
            <w:tcW w:w="2268" w:type="dxa"/>
            <w:tcBorders>
              <w:top w:val="nil"/>
              <w:left w:val="nil"/>
              <w:bottom w:val="single" w:color="auto" w:sz="4" w:space="0"/>
              <w:right w:val="single" w:color="auto" w:sz="4" w:space="0"/>
            </w:tcBorders>
            <w:shd w:val="clear" w:color="auto" w:fill="auto"/>
            <w:noWrap/>
            <w:vAlign w:val="center"/>
          </w:tcPr>
          <w:p w14:paraId="20549116">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6A58A4D9">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1DCA6853">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208808E4">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0C3870E2">
            <w:pPr>
              <w:widowControl/>
              <w:jc w:val="left"/>
              <w:rPr>
                <w:rFonts w:ascii="宋体" w:hAnsi="宋体" w:cs="宋体"/>
                <w:color w:val="000000"/>
                <w:kern w:val="0"/>
                <w:sz w:val="22"/>
                <w:szCs w:val="22"/>
              </w:rPr>
            </w:pPr>
            <w:r>
              <w:rPr>
                <w:rFonts w:hint="eastAsia" w:ascii="宋体" w:hAnsi="宋体" w:cs="宋体"/>
                <w:color w:val="000000"/>
                <w:kern w:val="0"/>
                <w:sz w:val="22"/>
                <w:szCs w:val="22"/>
              </w:rPr>
              <w:t>23.07.303</w:t>
            </w:r>
          </w:p>
        </w:tc>
        <w:tc>
          <w:tcPr>
            <w:tcW w:w="2268" w:type="dxa"/>
            <w:tcBorders>
              <w:top w:val="nil"/>
              <w:left w:val="nil"/>
              <w:bottom w:val="single" w:color="auto" w:sz="4" w:space="0"/>
              <w:right w:val="single" w:color="auto" w:sz="4" w:space="0"/>
            </w:tcBorders>
            <w:shd w:val="clear" w:color="auto" w:fill="auto"/>
            <w:noWrap/>
            <w:vAlign w:val="center"/>
          </w:tcPr>
          <w:p w14:paraId="171243E2">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1E9CB30B">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1F3FABA4">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3DDA19F0">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07634BD9">
            <w:pPr>
              <w:widowControl/>
              <w:jc w:val="left"/>
              <w:rPr>
                <w:rFonts w:ascii="宋体" w:hAnsi="宋体" w:cs="宋体"/>
                <w:color w:val="000000"/>
                <w:kern w:val="0"/>
                <w:sz w:val="22"/>
                <w:szCs w:val="22"/>
              </w:rPr>
            </w:pPr>
            <w:r>
              <w:rPr>
                <w:rFonts w:hint="eastAsia" w:ascii="宋体" w:hAnsi="宋体" w:cs="宋体"/>
                <w:color w:val="000000"/>
                <w:kern w:val="0"/>
                <w:sz w:val="22"/>
                <w:szCs w:val="22"/>
              </w:rPr>
              <w:t>23.07.304</w:t>
            </w:r>
          </w:p>
        </w:tc>
        <w:tc>
          <w:tcPr>
            <w:tcW w:w="2268" w:type="dxa"/>
            <w:tcBorders>
              <w:top w:val="nil"/>
              <w:left w:val="nil"/>
              <w:bottom w:val="single" w:color="auto" w:sz="4" w:space="0"/>
              <w:right w:val="single" w:color="auto" w:sz="4" w:space="0"/>
            </w:tcBorders>
            <w:shd w:val="clear" w:color="auto" w:fill="auto"/>
            <w:noWrap/>
            <w:vAlign w:val="center"/>
          </w:tcPr>
          <w:p w14:paraId="290FF8FB">
            <w:pPr>
              <w:widowControl/>
              <w:jc w:val="left"/>
              <w:rPr>
                <w:rFonts w:ascii="宋体" w:hAnsi="宋体" w:cs="宋体"/>
                <w:color w:val="000000"/>
                <w:kern w:val="0"/>
                <w:sz w:val="22"/>
                <w:szCs w:val="22"/>
              </w:rPr>
            </w:pPr>
            <w:r>
              <w:rPr>
                <w:rFonts w:hint="eastAsia" w:ascii="宋体" w:hAnsi="宋体" w:cs="宋体"/>
                <w:color w:val="000000"/>
                <w:kern w:val="0"/>
                <w:sz w:val="22"/>
                <w:szCs w:val="22"/>
              </w:rPr>
              <w:t>长管</w:t>
            </w:r>
          </w:p>
        </w:tc>
      </w:tr>
      <w:tr w14:paraId="3A72F927">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3289D057">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4FD2CE23">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7BE3307A">
            <w:pPr>
              <w:widowControl/>
              <w:jc w:val="left"/>
              <w:rPr>
                <w:rFonts w:ascii="宋体" w:hAnsi="宋体" w:cs="宋体"/>
                <w:color w:val="000000"/>
                <w:kern w:val="0"/>
                <w:sz w:val="22"/>
                <w:szCs w:val="22"/>
              </w:rPr>
            </w:pPr>
            <w:r>
              <w:rPr>
                <w:rFonts w:hint="eastAsia" w:ascii="宋体" w:hAnsi="宋体" w:cs="宋体"/>
                <w:color w:val="000000"/>
                <w:kern w:val="0"/>
                <w:sz w:val="22"/>
                <w:szCs w:val="22"/>
              </w:rPr>
              <w:t>23.07.325</w:t>
            </w:r>
          </w:p>
        </w:tc>
        <w:tc>
          <w:tcPr>
            <w:tcW w:w="2268" w:type="dxa"/>
            <w:tcBorders>
              <w:top w:val="nil"/>
              <w:left w:val="nil"/>
              <w:bottom w:val="single" w:color="auto" w:sz="4" w:space="0"/>
              <w:right w:val="single" w:color="auto" w:sz="4" w:space="0"/>
            </w:tcBorders>
            <w:shd w:val="clear" w:color="auto" w:fill="auto"/>
            <w:noWrap/>
            <w:vAlign w:val="center"/>
          </w:tcPr>
          <w:p w14:paraId="2A8B7168">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6BE6D5FC">
        <w:tblPrEx>
          <w:tblCellMar>
            <w:top w:w="0" w:type="dxa"/>
            <w:left w:w="108" w:type="dxa"/>
            <w:bottom w:w="0" w:type="dxa"/>
            <w:right w:w="108" w:type="dxa"/>
          </w:tblCellMar>
        </w:tblPrEx>
        <w:trPr>
          <w:trHeight w:val="270" w:hRule="atLeast"/>
        </w:trPr>
        <w:tc>
          <w:tcPr>
            <w:tcW w:w="992" w:type="dxa"/>
            <w:vMerge w:val="restart"/>
            <w:tcBorders>
              <w:top w:val="nil"/>
              <w:left w:val="single" w:color="auto" w:sz="4" w:space="0"/>
              <w:bottom w:val="single" w:color="auto" w:sz="4" w:space="0"/>
              <w:right w:val="single" w:color="auto" w:sz="4" w:space="0"/>
            </w:tcBorders>
            <w:shd w:val="clear" w:color="auto" w:fill="auto"/>
            <w:noWrap/>
            <w:vAlign w:val="center"/>
          </w:tcPr>
          <w:p w14:paraId="7D10D481">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2552" w:type="dxa"/>
            <w:vMerge w:val="restart"/>
            <w:tcBorders>
              <w:top w:val="nil"/>
              <w:left w:val="single" w:color="auto" w:sz="4" w:space="0"/>
              <w:bottom w:val="single" w:color="auto" w:sz="4" w:space="0"/>
              <w:right w:val="single" w:color="auto" w:sz="4" w:space="0"/>
            </w:tcBorders>
            <w:shd w:val="clear" w:color="auto" w:fill="auto"/>
            <w:noWrap/>
            <w:vAlign w:val="center"/>
          </w:tcPr>
          <w:p w14:paraId="41690A2D">
            <w:pPr>
              <w:widowControl/>
              <w:jc w:val="center"/>
              <w:rPr>
                <w:rFonts w:ascii="宋体" w:hAnsi="宋体" w:cs="宋体"/>
                <w:color w:val="000000"/>
                <w:kern w:val="0"/>
                <w:sz w:val="22"/>
                <w:szCs w:val="22"/>
              </w:rPr>
            </w:pPr>
            <w:r>
              <w:rPr>
                <w:rFonts w:hint="eastAsia" w:ascii="宋体" w:hAnsi="宋体" w:cs="宋体"/>
                <w:color w:val="000000"/>
                <w:kern w:val="0"/>
                <w:sz w:val="22"/>
                <w:szCs w:val="22"/>
              </w:rPr>
              <w:t>吸气管</w:t>
            </w:r>
          </w:p>
        </w:tc>
        <w:tc>
          <w:tcPr>
            <w:tcW w:w="2126" w:type="dxa"/>
            <w:tcBorders>
              <w:top w:val="nil"/>
              <w:left w:val="nil"/>
              <w:bottom w:val="single" w:color="auto" w:sz="4" w:space="0"/>
              <w:right w:val="single" w:color="auto" w:sz="4" w:space="0"/>
            </w:tcBorders>
            <w:shd w:val="clear" w:color="auto" w:fill="auto"/>
            <w:noWrap/>
            <w:vAlign w:val="center"/>
          </w:tcPr>
          <w:p w14:paraId="5AEE1E57">
            <w:pPr>
              <w:widowControl/>
              <w:jc w:val="left"/>
              <w:rPr>
                <w:rFonts w:ascii="宋体" w:hAnsi="宋体" w:cs="宋体"/>
                <w:color w:val="000000"/>
                <w:kern w:val="0"/>
                <w:sz w:val="22"/>
                <w:szCs w:val="22"/>
              </w:rPr>
            </w:pPr>
            <w:r>
              <w:rPr>
                <w:rFonts w:hint="eastAsia" w:ascii="宋体" w:hAnsi="宋体" w:cs="宋体"/>
                <w:color w:val="000000"/>
                <w:kern w:val="0"/>
                <w:sz w:val="22"/>
                <w:szCs w:val="22"/>
              </w:rPr>
              <w:t>23.07.301F</w:t>
            </w:r>
          </w:p>
        </w:tc>
        <w:tc>
          <w:tcPr>
            <w:tcW w:w="2268" w:type="dxa"/>
            <w:tcBorders>
              <w:top w:val="nil"/>
              <w:left w:val="nil"/>
              <w:bottom w:val="single" w:color="auto" w:sz="4" w:space="0"/>
              <w:right w:val="single" w:color="auto" w:sz="4" w:space="0"/>
            </w:tcBorders>
            <w:shd w:val="clear" w:color="auto" w:fill="auto"/>
            <w:noWrap/>
            <w:vAlign w:val="center"/>
          </w:tcPr>
          <w:p w14:paraId="25DC6320">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20119249">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20A04B48">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701CA239">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5EE2C879">
            <w:pPr>
              <w:widowControl/>
              <w:jc w:val="left"/>
              <w:rPr>
                <w:rFonts w:ascii="宋体" w:hAnsi="宋体" w:cs="宋体"/>
                <w:color w:val="000000"/>
                <w:kern w:val="0"/>
                <w:sz w:val="22"/>
                <w:szCs w:val="22"/>
              </w:rPr>
            </w:pPr>
            <w:r>
              <w:rPr>
                <w:rFonts w:hint="eastAsia" w:ascii="宋体" w:hAnsi="宋体" w:cs="宋体"/>
                <w:color w:val="000000"/>
                <w:kern w:val="0"/>
                <w:sz w:val="22"/>
                <w:szCs w:val="22"/>
              </w:rPr>
              <w:t>23.07.301S</w:t>
            </w:r>
          </w:p>
        </w:tc>
        <w:tc>
          <w:tcPr>
            <w:tcW w:w="2268" w:type="dxa"/>
            <w:tcBorders>
              <w:top w:val="nil"/>
              <w:left w:val="nil"/>
              <w:bottom w:val="single" w:color="auto" w:sz="4" w:space="0"/>
              <w:right w:val="single" w:color="auto" w:sz="4" w:space="0"/>
            </w:tcBorders>
            <w:shd w:val="clear" w:color="auto" w:fill="auto"/>
            <w:noWrap/>
            <w:vAlign w:val="center"/>
          </w:tcPr>
          <w:p w14:paraId="6C011A20">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147AC806">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051205AA">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038879A5">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6870E151">
            <w:pPr>
              <w:widowControl/>
              <w:jc w:val="left"/>
              <w:rPr>
                <w:rFonts w:ascii="宋体" w:hAnsi="宋体" w:cs="宋体"/>
                <w:color w:val="000000"/>
                <w:kern w:val="0"/>
                <w:sz w:val="22"/>
                <w:szCs w:val="22"/>
              </w:rPr>
            </w:pPr>
            <w:r>
              <w:rPr>
                <w:rFonts w:hint="eastAsia" w:ascii="宋体" w:hAnsi="宋体" w:cs="宋体"/>
                <w:color w:val="000000"/>
                <w:kern w:val="0"/>
                <w:sz w:val="22"/>
                <w:szCs w:val="22"/>
              </w:rPr>
              <w:t>23.07.303</w:t>
            </w:r>
          </w:p>
        </w:tc>
        <w:tc>
          <w:tcPr>
            <w:tcW w:w="2268" w:type="dxa"/>
            <w:tcBorders>
              <w:top w:val="nil"/>
              <w:left w:val="nil"/>
              <w:bottom w:val="single" w:color="auto" w:sz="4" w:space="0"/>
              <w:right w:val="single" w:color="auto" w:sz="4" w:space="0"/>
            </w:tcBorders>
            <w:shd w:val="clear" w:color="auto" w:fill="auto"/>
            <w:noWrap/>
            <w:vAlign w:val="bottom"/>
          </w:tcPr>
          <w:p w14:paraId="2627F3D1">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4CA03940">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1C8CE55B">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4D171CC5">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2BF81FE6">
            <w:pPr>
              <w:widowControl/>
              <w:jc w:val="left"/>
              <w:rPr>
                <w:rFonts w:ascii="宋体" w:hAnsi="宋体" w:cs="宋体"/>
                <w:color w:val="000000"/>
                <w:kern w:val="0"/>
                <w:sz w:val="22"/>
                <w:szCs w:val="22"/>
              </w:rPr>
            </w:pPr>
            <w:r>
              <w:rPr>
                <w:rFonts w:hint="eastAsia" w:ascii="宋体" w:hAnsi="宋体" w:cs="宋体"/>
                <w:color w:val="000000"/>
                <w:kern w:val="0"/>
                <w:sz w:val="22"/>
                <w:szCs w:val="22"/>
              </w:rPr>
              <w:t>23.07.314</w:t>
            </w:r>
          </w:p>
        </w:tc>
        <w:tc>
          <w:tcPr>
            <w:tcW w:w="2268" w:type="dxa"/>
            <w:tcBorders>
              <w:top w:val="nil"/>
              <w:left w:val="nil"/>
              <w:bottom w:val="single" w:color="auto" w:sz="4" w:space="0"/>
              <w:right w:val="single" w:color="auto" w:sz="4" w:space="0"/>
            </w:tcBorders>
            <w:shd w:val="clear" w:color="auto" w:fill="auto"/>
            <w:noWrap/>
            <w:vAlign w:val="bottom"/>
          </w:tcPr>
          <w:p w14:paraId="3E78806C">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46B5BF9B">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0F9B1756">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74BF6142">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71CC8201">
            <w:pPr>
              <w:widowControl/>
              <w:jc w:val="left"/>
              <w:rPr>
                <w:rFonts w:ascii="宋体" w:hAnsi="宋体" w:cs="宋体"/>
                <w:color w:val="000000"/>
                <w:kern w:val="0"/>
                <w:sz w:val="22"/>
                <w:szCs w:val="22"/>
              </w:rPr>
            </w:pPr>
            <w:r>
              <w:rPr>
                <w:rFonts w:hint="eastAsia" w:ascii="宋体" w:hAnsi="宋体" w:cs="宋体"/>
                <w:color w:val="000000"/>
                <w:kern w:val="0"/>
                <w:sz w:val="22"/>
                <w:szCs w:val="22"/>
              </w:rPr>
              <w:t>23.07.315</w:t>
            </w:r>
          </w:p>
        </w:tc>
        <w:tc>
          <w:tcPr>
            <w:tcW w:w="2268" w:type="dxa"/>
            <w:tcBorders>
              <w:top w:val="nil"/>
              <w:left w:val="nil"/>
              <w:bottom w:val="single" w:color="auto" w:sz="4" w:space="0"/>
              <w:right w:val="single" w:color="auto" w:sz="4" w:space="0"/>
            </w:tcBorders>
            <w:shd w:val="clear" w:color="auto" w:fill="auto"/>
            <w:noWrap/>
            <w:vAlign w:val="bottom"/>
          </w:tcPr>
          <w:p w14:paraId="07B908B1">
            <w:pPr>
              <w:widowControl/>
              <w:jc w:val="left"/>
              <w:rPr>
                <w:rFonts w:ascii="宋体" w:hAnsi="宋体" w:cs="宋体"/>
                <w:color w:val="000000"/>
                <w:kern w:val="0"/>
                <w:sz w:val="22"/>
                <w:szCs w:val="22"/>
              </w:rPr>
            </w:pPr>
            <w:r>
              <w:rPr>
                <w:rFonts w:hint="eastAsia" w:ascii="宋体" w:hAnsi="宋体" w:cs="宋体"/>
                <w:color w:val="000000"/>
                <w:kern w:val="0"/>
                <w:sz w:val="22"/>
                <w:szCs w:val="22"/>
              </w:rPr>
              <w:t>长管</w:t>
            </w:r>
          </w:p>
        </w:tc>
      </w:tr>
      <w:tr w14:paraId="7878C777">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6EDAD75E">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65C57E62">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2DAE958D">
            <w:pPr>
              <w:widowControl/>
              <w:jc w:val="left"/>
              <w:rPr>
                <w:rFonts w:ascii="宋体" w:hAnsi="宋体" w:cs="宋体"/>
                <w:color w:val="000000"/>
                <w:kern w:val="0"/>
                <w:sz w:val="22"/>
                <w:szCs w:val="22"/>
              </w:rPr>
            </w:pPr>
            <w:r>
              <w:rPr>
                <w:rFonts w:hint="eastAsia" w:ascii="宋体" w:hAnsi="宋体" w:cs="宋体"/>
                <w:color w:val="000000"/>
                <w:kern w:val="0"/>
                <w:sz w:val="22"/>
                <w:szCs w:val="22"/>
              </w:rPr>
              <w:t>23.07.319</w:t>
            </w:r>
          </w:p>
        </w:tc>
        <w:tc>
          <w:tcPr>
            <w:tcW w:w="2268" w:type="dxa"/>
            <w:tcBorders>
              <w:top w:val="nil"/>
              <w:left w:val="nil"/>
              <w:bottom w:val="single" w:color="auto" w:sz="4" w:space="0"/>
              <w:right w:val="single" w:color="auto" w:sz="4" w:space="0"/>
            </w:tcBorders>
            <w:shd w:val="clear" w:color="auto" w:fill="auto"/>
            <w:noWrap/>
            <w:vAlign w:val="bottom"/>
          </w:tcPr>
          <w:p w14:paraId="001B55F4">
            <w:pPr>
              <w:widowControl/>
              <w:jc w:val="left"/>
              <w:rPr>
                <w:rFonts w:ascii="宋体" w:hAnsi="宋体" w:cs="宋体"/>
                <w:color w:val="000000"/>
                <w:kern w:val="0"/>
                <w:sz w:val="22"/>
                <w:szCs w:val="22"/>
              </w:rPr>
            </w:pPr>
            <w:r>
              <w:rPr>
                <w:rFonts w:hint="eastAsia" w:ascii="宋体" w:hAnsi="宋体" w:cs="宋体"/>
                <w:color w:val="000000"/>
                <w:kern w:val="0"/>
                <w:sz w:val="22"/>
                <w:szCs w:val="22"/>
              </w:rPr>
              <w:t>大管</w:t>
            </w:r>
          </w:p>
        </w:tc>
      </w:tr>
      <w:tr w14:paraId="71003CE6">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35C68E65">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0BB5FCCA">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0D00E9B6">
            <w:pPr>
              <w:widowControl/>
              <w:jc w:val="left"/>
              <w:rPr>
                <w:rFonts w:ascii="宋体" w:hAnsi="宋体" w:cs="宋体"/>
                <w:color w:val="000000"/>
                <w:kern w:val="0"/>
                <w:sz w:val="22"/>
                <w:szCs w:val="22"/>
              </w:rPr>
            </w:pPr>
            <w:r>
              <w:rPr>
                <w:rFonts w:hint="eastAsia" w:ascii="宋体" w:hAnsi="宋体" w:cs="宋体"/>
                <w:color w:val="000000"/>
                <w:kern w:val="0"/>
                <w:sz w:val="22"/>
                <w:szCs w:val="22"/>
              </w:rPr>
              <w:t>23.07.322</w:t>
            </w:r>
          </w:p>
        </w:tc>
        <w:tc>
          <w:tcPr>
            <w:tcW w:w="2268" w:type="dxa"/>
            <w:tcBorders>
              <w:top w:val="nil"/>
              <w:left w:val="nil"/>
              <w:bottom w:val="single" w:color="auto" w:sz="4" w:space="0"/>
              <w:right w:val="single" w:color="auto" w:sz="4" w:space="0"/>
            </w:tcBorders>
            <w:shd w:val="clear" w:color="auto" w:fill="auto"/>
            <w:noWrap/>
            <w:vAlign w:val="bottom"/>
          </w:tcPr>
          <w:p w14:paraId="1F473DF4">
            <w:pPr>
              <w:widowControl/>
              <w:jc w:val="left"/>
              <w:rPr>
                <w:rFonts w:ascii="宋体" w:hAnsi="宋体" w:cs="宋体"/>
                <w:color w:val="000000"/>
                <w:kern w:val="0"/>
                <w:sz w:val="22"/>
                <w:szCs w:val="22"/>
              </w:rPr>
            </w:pPr>
            <w:r>
              <w:rPr>
                <w:rFonts w:hint="eastAsia" w:ascii="宋体" w:hAnsi="宋体" w:cs="宋体"/>
                <w:color w:val="000000"/>
                <w:kern w:val="0"/>
                <w:sz w:val="22"/>
                <w:szCs w:val="22"/>
              </w:rPr>
              <w:t>特殊</w:t>
            </w:r>
          </w:p>
        </w:tc>
      </w:tr>
      <w:tr w14:paraId="0D43780D">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14DFA125">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0F7DFB6D">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004A1766">
            <w:pPr>
              <w:widowControl/>
              <w:jc w:val="left"/>
              <w:rPr>
                <w:rFonts w:ascii="宋体" w:hAnsi="宋体" w:cs="宋体"/>
                <w:color w:val="000000"/>
                <w:kern w:val="0"/>
                <w:sz w:val="22"/>
                <w:szCs w:val="22"/>
              </w:rPr>
            </w:pPr>
            <w:r>
              <w:rPr>
                <w:rFonts w:hint="eastAsia" w:ascii="宋体" w:hAnsi="宋体" w:cs="宋体"/>
                <w:color w:val="000000"/>
                <w:kern w:val="0"/>
                <w:sz w:val="22"/>
                <w:szCs w:val="22"/>
              </w:rPr>
              <w:t>23.07.325</w:t>
            </w:r>
          </w:p>
        </w:tc>
        <w:tc>
          <w:tcPr>
            <w:tcW w:w="2268" w:type="dxa"/>
            <w:tcBorders>
              <w:top w:val="nil"/>
              <w:left w:val="nil"/>
              <w:bottom w:val="single" w:color="auto" w:sz="4" w:space="0"/>
              <w:right w:val="single" w:color="auto" w:sz="4" w:space="0"/>
            </w:tcBorders>
            <w:shd w:val="clear" w:color="auto" w:fill="auto"/>
            <w:noWrap/>
            <w:vAlign w:val="bottom"/>
          </w:tcPr>
          <w:p w14:paraId="75D3AB07">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0A250A82">
        <w:tblPrEx>
          <w:tblCellMar>
            <w:top w:w="0" w:type="dxa"/>
            <w:left w:w="108" w:type="dxa"/>
            <w:bottom w:w="0" w:type="dxa"/>
            <w:right w:w="108" w:type="dxa"/>
          </w:tblCellMar>
        </w:tblPrEx>
        <w:trPr>
          <w:trHeight w:val="270" w:hRule="atLeast"/>
        </w:trPr>
        <w:tc>
          <w:tcPr>
            <w:tcW w:w="992" w:type="dxa"/>
            <w:vMerge w:val="restart"/>
            <w:tcBorders>
              <w:top w:val="nil"/>
              <w:left w:val="single" w:color="auto" w:sz="4" w:space="0"/>
              <w:bottom w:val="single" w:color="auto" w:sz="4" w:space="0"/>
              <w:right w:val="single" w:color="auto" w:sz="4" w:space="0"/>
            </w:tcBorders>
            <w:shd w:val="clear" w:color="auto" w:fill="auto"/>
            <w:noWrap/>
            <w:vAlign w:val="center"/>
          </w:tcPr>
          <w:p w14:paraId="73DA4CB9">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2552" w:type="dxa"/>
            <w:vMerge w:val="restart"/>
            <w:tcBorders>
              <w:top w:val="nil"/>
              <w:left w:val="single" w:color="auto" w:sz="4" w:space="0"/>
              <w:bottom w:val="single" w:color="auto" w:sz="4" w:space="0"/>
              <w:right w:val="single" w:color="auto" w:sz="4" w:space="0"/>
            </w:tcBorders>
            <w:shd w:val="clear" w:color="auto" w:fill="auto"/>
            <w:noWrap/>
            <w:vAlign w:val="center"/>
          </w:tcPr>
          <w:p w14:paraId="1F9E64AB">
            <w:pPr>
              <w:widowControl/>
              <w:jc w:val="center"/>
              <w:rPr>
                <w:rFonts w:ascii="宋体" w:hAnsi="宋体" w:cs="宋体"/>
                <w:color w:val="000000"/>
                <w:kern w:val="0"/>
                <w:sz w:val="22"/>
                <w:szCs w:val="22"/>
              </w:rPr>
            </w:pPr>
            <w:r>
              <w:rPr>
                <w:rFonts w:hint="eastAsia" w:ascii="宋体" w:hAnsi="宋体" w:cs="宋体"/>
                <w:color w:val="000000"/>
                <w:kern w:val="0"/>
                <w:sz w:val="22"/>
                <w:szCs w:val="22"/>
              </w:rPr>
              <w:t>排气管</w:t>
            </w:r>
          </w:p>
        </w:tc>
        <w:tc>
          <w:tcPr>
            <w:tcW w:w="2126" w:type="dxa"/>
            <w:tcBorders>
              <w:top w:val="nil"/>
              <w:left w:val="nil"/>
              <w:bottom w:val="single" w:color="auto" w:sz="4" w:space="0"/>
              <w:right w:val="single" w:color="auto" w:sz="4" w:space="0"/>
            </w:tcBorders>
            <w:shd w:val="clear" w:color="auto" w:fill="auto"/>
            <w:noWrap/>
            <w:vAlign w:val="center"/>
          </w:tcPr>
          <w:p w14:paraId="55D882D0">
            <w:pPr>
              <w:widowControl/>
              <w:jc w:val="left"/>
              <w:rPr>
                <w:rFonts w:ascii="宋体" w:hAnsi="宋体" w:cs="宋体"/>
                <w:color w:val="000000"/>
                <w:kern w:val="0"/>
                <w:sz w:val="22"/>
                <w:szCs w:val="22"/>
              </w:rPr>
            </w:pPr>
            <w:r>
              <w:rPr>
                <w:rFonts w:hint="eastAsia" w:ascii="宋体" w:hAnsi="宋体" w:cs="宋体"/>
                <w:color w:val="000000"/>
                <w:kern w:val="0"/>
                <w:sz w:val="22"/>
                <w:szCs w:val="22"/>
              </w:rPr>
              <w:t>23.08.301</w:t>
            </w:r>
          </w:p>
        </w:tc>
        <w:tc>
          <w:tcPr>
            <w:tcW w:w="2268" w:type="dxa"/>
            <w:tcBorders>
              <w:top w:val="nil"/>
              <w:left w:val="nil"/>
              <w:bottom w:val="single" w:color="auto" w:sz="4" w:space="0"/>
              <w:right w:val="single" w:color="auto" w:sz="4" w:space="0"/>
            </w:tcBorders>
            <w:shd w:val="clear" w:color="auto" w:fill="auto"/>
            <w:noWrap/>
            <w:vAlign w:val="bottom"/>
          </w:tcPr>
          <w:p w14:paraId="430D8A06">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7E9819DE">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5B6C9737">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3B4DDF7D">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42319E2B">
            <w:pPr>
              <w:widowControl/>
              <w:jc w:val="left"/>
              <w:rPr>
                <w:rFonts w:ascii="宋体" w:hAnsi="宋体" w:cs="宋体"/>
                <w:color w:val="000000"/>
                <w:kern w:val="0"/>
                <w:sz w:val="22"/>
                <w:szCs w:val="22"/>
              </w:rPr>
            </w:pPr>
            <w:r>
              <w:rPr>
                <w:rFonts w:hint="eastAsia" w:ascii="宋体" w:hAnsi="宋体" w:cs="宋体"/>
                <w:color w:val="000000"/>
                <w:kern w:val="0"/>
                <w:sz w:val="22"/>
                <w:szCs w:val="22"/>
              </w:rPr>
              <w:t>23.08.308W</w:t>
            </w:r>
          </w:p>
        </w:tc>
        <w:tc>
          <w:tcPr>
            <w:tcW w:w="2268" w:type="dxa"/>
            <w:tcBorders>
              <w:top w:val="nil"/>
              <w:left w:val="nil"/>
              <w:bottom w:val="single" w:color="auto" w:sz="4" w:space="0"/>
              <w:right w:val="single" w:color="auto" w:sz="4" w:space="0"/>
            </w:tcBorders>
            <w:shd w:val="clear" w:color="auto" w:fill="auto"/>
            <w:noWrap/>
            <w:vAlign w:val="bottom"/>
          </w:tcPr>
          <w:p w14:paraId="729A94AA">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14:paraId="44A6856C">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6A08D833">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762315BB">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52B2D625">
            <w:pPr>
              <w:widowControl/>
              <w:jc w:val="left"/>
              <w:rPr>
                <w:rFonts w:ascii="宋体" w:hAnsi="宋体" w:cs="宋体"/>
                <w:color w:val="000000"/>
                <w:kern w:val="0"/>
                <w:sz w:val="22"/>
                <w:szCs w:val="22"/>
              </w:rPr>
            </w:pPr>
            <w:r>
              <w:rPr>
                <w:rFonts w:hint="eastAsia" w:ascii="宋体" w:hAnsi="宋体" w:cs="宋体"/>
                <w:color w:val="000000"/>
                <w:kern w:val="0"/>
                <w:sz w:val="22"/>
                <w:szCs w:val="22"/>
              </w:rPr>
              <w:t>23.08.310M</w:t>
            </w:r>
          </w:p>
        </w:tc>
        <w:tc>
          <w:tcPr>
            <w:tcW w:w="2268" w:type="dxa"/>
            <w:tcBorders>
              <w:top w:val="nil"/>
              <w:left w:val="nil"/>
              <w:bottom w:val="single" w:color="auto" w:sz="4" w:space="0"/>
              <w:right w:val="single" w:color="auto" w:sz="4" w:space="0"/>
            </w:tcBorders>
            <w:shd w:val="clear" w:color="auto" w:fill="auto"/>
            <w:noWrap/>
            <w:vAlign w:val="bottom"/>
          </w:tcPr>
          <w:p w14:paraId="03355658">
            <w:pPr>
              <w:widowControl/>
              <w:jc w:val="left"/>
              <w:rPr>
                <w:rFonts w:ascii="宋体" w:hAnsi="宋体" w:cs="宋体"/>
                <w:color w:val="000000"/>
                <w:kern w:val="0"/>
                <w:sz w:val="22"/>
                <w:szCs w:val="22"/>
              </w:rPr>
            </w:pPr>
            <w:r>
              <w:rPr>
                <w:rFonts w:hint="eastAsia" w:ascii="宋体" w:hAnsi="宋体" w:cs="宋体"/>
                <w:color w:val="000000"/>
                <w:kern w:val="0"/>
                <w:sz w:val="22"/>
                <w:szCs w:val="22"/>
              </w:rPr>
              <w:t>特殊</w:t>
            </w:r>
          </w:p>
        </w:tc>
      </w:tr>
      <w:tr w14:paraId="0A9B4CE5">
        <w:tblPrEx>
          <w:tblCellMar>
            <w:top w:w="0" w:type="dxa"/>
            <w:left w:w="108" w:type="dxa"/>
            <w:bottom w:w="0" w:type="dxa"/>
            <w:right w:w="108" w:type="dxa"/>
          </w:tblCellMar>
        </w:tblPrEx>
        <w:trPr>
          <w:trHeight w:val="270" w:hRule="atLeast"/>
        </w:trPr>
        <w:tc>
          <w:tcPr>
            <w:tcW w:w="992" w:type="dxa"/>
            <w:vMerge w:val="continue"/>
            <w:tcBorders>
              <w:top w:val="nil"/>
              <w:left w:val="single" w:color="auto" w:sz="4" w:space="0"/>
              <w:bottom w:val="single" w:color="auto" w:sz="4" w:space="0"/>
              <w:right w:val="single" w:color="auto" w:sz="4" w:space="0"/>
            </w:tcBorders>
            <w:vAlign w:val="center"/>
          </w:tcPr>
          <w:p w14:paraId="7C8D8894">
            <w:pPr>
              <w:widowControl/>
              <w:jc w:val="left"/>
              <w:rPr>
                <w:rFonts w:ascii="宋体" w:hAnsi="宋体" w:cs="宋体"/>
                <w:color w:val="000000"/>
                <w:kern w:val="0"/>
                <w:sz w:val="22"/>
                <w:szCs w:val="22"/>
              </w:rPr>
            </w:pPr>
          </w:p>
        </w:tc>
        <w:tc>
          <w:tcPr>
            <w:tcW w:w="2552" w:type="dxa"/>
            <w:vMerge w:val="continue"/>
            <w:tcBorders>
              <w:top w:val="nil"/>
              <w:left w:val="single" w:color="auto" w:sz="4" w:space="0"/>
              <w:bottom w:val="single" w:color="auto" w:sz="4" w:space="0"/>
              <w:right w:val="single" w:color="auto" w:sz="4" w:space="0"/>
            </w:tcBorders>
            <w:vAlign w:val="center"/>
          </w:tcPr>
          <w:p w14:paraId="5DBB08A4">
            <w:pPr>
              <w:widowControl/>
              <w:jc w:val="left"/>
              <w:rPr>
                <w:rFonts w:ascii="宋体" w:hAnsi="宋体" w:cs="宋体"/>
                <w:color w:val="000000"/>
                <w:kern w:val="0"/>
                <w:sz w:val="22"/>
                <w:szCs w:val="22"/>
              </w:rPr>
            </w:pPr>
          </w:p>
        </w:tc>
        <w:tc>
          <w:tcPr>
            <w:tcW w:w="2126" w:type="dxa"/>
            <w:tcBorders>
              <w:top w:val="nil"/>
              <w:left w:val="nil"/>
              <w:bottom w:val="single" w:color="auto" w:sz="4" w:space="0"/>
              <w:right w:val="single" w:color="auto" w:sz="4" w:space="0"/>
            </w:tcBorders>
            <w:shd w:val="clear" w:color="auto" w:fill="auto"/>
            <w:noWrap/>
            <w:vAlign w:val="center"/>
          </w:tcPr>
          <w:p w14:paraId="77D8ACD8">
            <w:pPr>
              <w:widowControl/>
              <w:jc w:val="left"/>
              <w:rPr>
                <w:rFonts w:ascii="宋体" w:hAnsi="宋体" w:cs="宋体"/>
                <w:color w:val="000000"/>
                <w:kern w:val="0"/>
                <w:sz w:val="22"/>
                <w:szCs w:val="22"/>
              </w:rPr>
            </w:pPr>
            <w:r>
              <w:rPr>
                <w:rFonts w:hint="eastAsia" w:ascii="宋体" w:hAnsi="宋体" w:cs="宋体"/>
                <w:color w:val="000000"/>
                <w:kern w:val="0"/>
                <w:sz w:val="22"/>
                <w:szCs w:val="22"/>
              </w:rPr>
              <w:t>23.08.315B</w:t>
            </w:r>
          </w:p>
        </w:tc>
        <w:tc>
          <w:tcPr>
            <w:tcW w:w="2268" w:type="dxa"/>
            <w:tcBorders>
              <w:top w:val="nil"/>
              <w:left w:val="nil"/>
              <w:bottom w:val="single" w:color="auto" w:sz="4" w:space="0"/>
              <w:right w:val="single" w:color="auto" w:sz="4" w:space="0"/>
            </w:tcBorders>
            <w:shd w:val="clear" w:color="auto" w:fill="auto"/>
            <w:noWrap/>
            <w:vAlign w:val="bottom"/>
          </w:tcPr>
          <w:p w14:paraId="3FC72EE2">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14:paraId="2DF2EFFA">
      <w:pPr>
        <w:numPr>
          <w:ilvl w:val="1"/>
          <w:numId w:val="28"/>
        </w:numPr>
        <w:overflowPunct w:val="0"/>
        <w:rPr>
          <w:rFonts w:ascii="宋体" w:hAnsi="宋体" w:cs="宋体"/>
          <w:spacing w:val="4"/>
          <w:szCs w:val="21"/>
        </w:rPr>
      </w:pPr>
      <w:r>
        <w:rPr>
          <w:rFonts w:hint="eastAsia" w:ascii="宋体" w:hAnsi="宋体" w:cs="宋体"/>
          <w:spacing w:val="4"/>
          <w:szCs w:val="21"/>
        </w:rPr>
        <w:t>设备工作环境：</w:t>
      </w:r>
    </w:p>
    <w:p w14:paraId="367C78A6">
      <w:pPr>
        <w:widowControl/>
        <w:numPr>
          <w:ilvl w:val="2"/>
          <w:numId w:val="28"/>
        </w:numPr>
        <w:overflowPunct w:val="0"/>
        <w:rPr>
          <w:rFonts w:ascii="宋体" w:hAnsi="宋体" w:cs="宋体"/>
          <w:spacing w:val="4"/>
          <w:szCs w:val="21"/>
        </w:rPr>
      </w:pPr>
      <w:r>
        <w:rPr>
          <w:rFonts w:hint="eastAsia" w:ascii="宋体" w:hAnsi="宋体" w:cs="宋体"/>
          <w:spacing w:val="4"/>
          <w:szCs w:val="21"/>
        </w:rPr>
        <w:t>最高气温                  45℃</w:t>
      </w:r>
    </w:p>
    <w:p w14:paraId="78572D81">
      <w:pPr>
        <w:widowControl/>
        <w:numPr>
          <w:ilvl w:val="2"/>
          <w:numId w:val="28"/>
        </w:numPr>
        <w:overflowPunct w:val="0"/>
        <w:rPr>
          <w:rFonts w:ascii="宋体" w:hAnsi="宋体" w:cs="宋体"/>
          <w:spacing w:val="4"/>
          <w:szCs w:val="21"/>
        </w:rPr>
      </w:pPr>
      <w:r>
        <w:rPr>
          <w:rFonts w:hint="eastAsia" w:ascii="宋体" w:hAnsi="宋体" w:cs="宋体"/>
          <w:spacing w:val="4"/>
          <w:szCs w:val="21"/>
        </w:rPr>
        <w:t xml:space="preserve">最低气温                  5℃ </w:t>
      </w:r>
    </w:p>
    <w:p w14:paraId="2092B64E">
      <w:pPr>
        <w:widowControl/>
        <w:numPr>
          <w:ilvl w:val="2"/>
          <w:numId w:val="28"/>
        </w:numPr>
        <w:overflowPunct w:val="0"/>
        <w:rPr>
          <w:rFonts w:ascii="宋体" w:hAnsi="宋体" w:cs="宋体"/>
          <w:spacing w:val="4"/>
          <w:szCs w:val="21"/>
        </w:rPr>
      </w:pPr>
      <w:r>
        <w:rPr>
          <w:rFonts w:hint="eastAsia" w:ascii="宋体" w:hAnsi="宋体" w:cs="宋体"/>
          <w:spacing w:val="4"/>
          <w:szCs w:val="21"/>
        </w:rPr>
        <w:t>年平均气温               17.3℃</w:t>
      </w:r>
    </w:p>
    <w:p w14:paraId="5196AC63">
      <w:pPr>
        <w:widowControl/>
        <w:numPr>
          <w:ilvl w:val="2"/>
          <w:numId w:val="28"/>
        </w:numPr>
        <w:overflowPunct w:val="0"/>
        <w:rPr>
          <w:rFonts w:ascii="宋体" w:hAnsi="宋体" w:cs="宋体"/>
          <w:spacing w:val="4"/>
          <w:szCs w:val="21"/>
        </w:rPr>
      </w:pPr>
      <w:r>
        <w:rPr>
          <w:rFonts w:hint="eastAsia" w:ascii="宋体" w:hAnsi="宋体" w:cs="宋体"/>
          <w:spacing w:val="4"/>
          <w:szCs w:val="21"/>
        </w:rPr>
        <w:t>环境平均相对湿度          65%</w:t>
      </w:r>
    </w:p>
    <w:p w14:paraId="01D0CF3E">
      <w:pPr>
        <w:widowControl/>
        <w:numPr>
          <w:ilvl w:val="2"/>
          <w:numId w:val="28"/>
        </w:numPr>
        <w:overflowPunct w:val="0"/>
        <w:rPr>
          <w:rFonts w:ascii="宋体" w:hAnsi="宋体" w:cs="宋体"/>
          <w:spacing w:val="4"/>
          <w:szCs w:val="21"/>
        </w:rPr>
      </w:pPr>
      <w:r>
        <w:rPr>
          <w:rFonts w:hint="eastAsia" w:ascii="宋体" w:hAnsi="宋体" w:cs="宋体"/>
          <w:spacing w:val="4"/>
          <w:szCs w:val="21"/>
        </w:rPr>
        <w:t>最高相对湿度              95%</w:t>
      </w:r>
    </w:p>
    <w:p w14:paraId="7E9F9AE0">
      <w:pPr>
        <w:numPr>
          <w:ilvl w:val="1"/>
          <w:numId w:val="28"/>
        </w:numPr>
        <w:overflowPunct w:val="0"/>
        <w:rPr>
          <w:rFonts w:ascii="宋体" w:hAnsi="宋体" w:cs="宋体"/>
          <w:spacing w:val="4"/>
          <w:szCs w:val="21"/>
        </w:rPr>
      </w:pPr>
      <w:r>
        <w:rPr>
          <w:rFonts w:hint="eastAsia" w:ascii="宋体" w:hAnsi="宋体" w:cs="宋体"/>
          <w:spacing w:val="4"/>
          <w:szCs w:val="21"/>
        </w:rPr>
        <w:t>供水：自来水压力为0.1~0.3 Mpa，常温；</w:t>
      </w:r>
    </w:p>
    <w:p w14:paraId="0C7B8E78">
      <w:pPr>
        <w:numPr>
          <w:ilvl w:val="1"/>
          <w:numId w:val="28"/>
        </w:numPr>
        <w:overflowPunct w:val="0"/>
        <w:rPr>
          <w:rFonts w:ascii="宋体" w:hAnsi="宋体" w:cs="宋体"/>
          <w:spacing w:val="4"/>
          <w:szCs w:val="21"/>
        </w:rPr>
      </w:pPr>
      <w:r>
        <w:rPr>
          <w:rFonts w:hint="eastAsia" w:ascii="宋体" w:hAnsi="宋体" w:cs="宋体"/>
          <w:spacing w:val="4"/>
          <w:szCs w:val="21"/>
        </w:rPr>
        <w:t>供水：如果有的话，除盐水压力为0.1~0.3 Mpa，常温；</w:t>
      </w:r>
    </w:p>
    <w:p w14:paraId="20F31C7E">
      <w:pPr>
        <w:numPr>
          <w:ilvl w:val="1"/>
          <w:numId w:val="28"/>
        </w:numPr>
        <w:overflowPunct w:val="0"/>
        <w:rPr>
          <w:rFonts w:ascii="宋体" w:hAnsi="宋体" w:cs="宋体"/>
          <w:spacing w:val="4"/>
          <w:szCs w:val="21"/>
        </w:rPr>
      </w:pPr>
      <w:r>
        <w:rPr>
          <w:rFonts w:hint="eastAsia" w:ascii="宋体" w:hAnsi="宋体" w:cs="宋体"/>
          <w:spacing w:val="4"/>
          <w:szCs w:val="21"/>
        </w:rPr>
        <w:t>供气：压缩空气压力大于0.60Mpa，已经过初级过滤；</w:t>
      </w:r>
    </w:p>
    <w:p w14:paraId="245FD684">
      <w:pPr>
        <w:numPr>
          <w:ilvl w:val="1"/>
          <w:numId w:val="28"/>
        </w:numPr>
        <w:overflowPunct w:val="0"/>
        <w:rPr>
          <w:rFonts w:ascii="宋体" w:hAnsi="宋体" w:cs="宋体"/>
          <w:spacing w:val="4"/>
          <w:szCs w:val="21"/>
        </w:rPr>
      </w:pPr>
      <w:r>
        <w:rPr>
          <w:rFonts w:hint="eastAsia" w:ascii="宋体" w:hAnsi="宋体" w:cs="宋体"/>
          <w:spacing w:val="4"/>
          <w:szCs w:val="21"/>
        </w:rPr>
        <w:t>电源：380V，50Hz。</w:t>
      </w:r>
    </w:p>
    <w:p w14:paraId="4D6C4BA9">
      <w:pPr>
        <w:numPr>
          <w:ilvl w:val="0"/>
          <w:numId w:val="28"/>
        </w:numPr>
        <w:overflowPunct w:val="0"/>
        <w:rPr>
          <w:rFonts w:ascii="宋体" w:hAnsi="宋体" w:cs="宋体"/>
          <w:szCs w:val="21"/>
        </w:rPr>
      </w:pPr>
      <w:r>
        <w:rPr>
          <w:rFonts w:hint="eastAsia" w:ascii="宋体" w:hAnsi="宋体" w:cs="宋体"/>
          <w:spacing w:val="4"/>
          <w:szCs w:val="21"/>
        </w:rPr>
        <w:t>设备技术规格及配置</w:t>
      </w:r>
    </w:p>
    <w:p w14:paraId="14E94186">
      <w:pPr>
        <w:numPr>
          <w:ilvl w:val="1"/>
          <w:numId w:val="28"/>
        </w:numPr>
        <w:overflowPunct w:val="0"/>
        <w:rPr>
          <w:rFonts w:ascii="宋体" w:hAnsi="宋体" w:cs="宋体"/>
          <w:szCs w:val="21"/>
        </w:rPr>
      </w:pPr>
      <w:r>
        <w:rPr>
          <w:rFonts w:hint="eastAsia" w:ascii="宋体" w:hAnsi="宋体" w:cs="宋体"/>
          <w:szCs w:val="21"/>
        </w:rPr>
        <w:t>一厂上支架焊接联线自动化改造（含输送线）</w:t>
      </w:r>
    </w:p>
    <w:p w14:paraId="5971C07F">
      <w:pPr>
        <w:numPr>
          <w:ilvl w:val="2"/>
          <w:numId w:val="28"/>
        </w:numPr>
        <w:overflowPunct w:val="0"/>
        <w:rPr>
          <w:rFonts w:ascii="宋体" w:hAnsi="宋体" w:cs="宋体"/>
          <w:szCs w:val="21"/>
        </w:rPr>
      </w:pPr>
      <w:r>
        <w:rPr>
          <w:rFonts w:hint="eastAsia" w:ascii="宋体" w:hAnsi="宋体" w:cs="宋体"/>
          <w:szCs w:val="21"/>
        </w:rPr>
        <w:t>本线共有两台上支架焊机组成，两台上支架焊机可同时焊接同一种产品</w:t>
      </w:r>
      <w:r>
        <w:rPr>
          <w:rFonts w:hint="eastAsia" w:ascii="宋体" w:hAnsi="宋体" w:cs="宋体"/>
          <w:szCs w:val="21"/>
          <w:lang w:eastAsia="zh-CN"/>
        </w:rPr>
        <w:t>，使用简单压力容器，并配备安全阀</w:t>
      </w:r>
      <w:r>
        <w:rPr>
          <w:rFonts w:hint="eastAsia" w:ascii="宋体" w:hAnsi="宋体" w:cs="宋体"/>
          <w:szCs w:val="21"/>
        </w:rPr>
        <w:t>；</w:t>
      </w:r>
    </w:p>
    <w:p w14:paraId="0E7C5166">
      <w:pPr>
        <w:numPr>
          <w:ilvl w:val="2"/>
          <w:numId w:val="28"/>
        </w:numPr>
        <w:overflowPunct w:val="0"/>
        <w:rPr>
          <w:rFonts w:ascii="宋体" w:hAnsi="宋体" w:cs="宋体"/>
          <w:szCs w:val="21"/>
        </w:rPr>
      </w:pPr>
      <w:r>
        <w:rPr>
          <w:rFonts w:hint="eastAsia" w:ascii="宋体" w:hAnsi="宋体" w:cs="宋体"/>
          <w:szCs w:val="21"/>
        </w:rPr>
        <w:t>输送线要考虑</w:t>
      </w:r>
      <w:r>
        <w:rPr>
          <w:rFonts w:hint="eastAsia" w:ascii="宋体" w:hAnsi="宋体" w:cs="宋体"/>
          <w:spacing w:val="4"/>
          <w:szCs w:val="21"/>
        </w:rPr>
        <w:t>同时兼容图纸清单中壳体型号产品；</w:t>
      </w:r>
    </w:p>
    <w:p w14:paraId="7C549424">
      <w:pPr>
        <w:numPr>
          <w:ilvl w:val="2"/>
          <w:numId w:val="28"/>
        </w:numPr>
        <w:overflowPunct w:val="0"/>
        <w:rPr>
          <w:rFonts w:ascii="宋体" w:hAnsi="宋体" w:cs="宋体"/>
          <w:szCs w:val="21"/>
        </w:rPr>
      </w:pPr>
      <w:r>
        <w:rPr>
          <w:rFonts w:hint="eastAsia" w:ascii="宋体" w:hAnsi="宋体" w:cs="宋体"/>
          <w:szCs w:val="21"/>
        </w:rPr>
        <w:t>每台上支架焊机需配2套</w:t>
      </w:r>
      <w:r>
        <w:rPr>
          <w:rFonts w:ascii="宋体" w:hAnsi="宋体" w:cs="宋体"/>
          <w:szCs w:val="21"/>
        </w:rPr>
        <w:t>支架</w:t>
      </w:r>
      <w:r>
        <w:rPr>
          <w:rFonts w:hint="eastAsia" w:ascii="宋体" w:hAnsi="宋体" w:cs="宋体"/>
          <w:szCs w:val="21"/>
        </w:rPr>
        <w:t>振动料盘便于上支架23.02.002、23.02.005M之间切换，</w:t>
      </w:r>
      <w:r>
        <w:rPr>
          <w:rFonts w:ascii="宋体" w:hAnsi="宋体" w:cs="宋体"/>
          <w:szCs w:val="21"/>
        </w:rPr>
        <w:t>上支架采用振盘配移载机械手自动上料</w:t>
      </w:r>
      <w:r>
        <w:rPr>
          <w:rFonts w:hint="eastAsia" w:ascii="宋体" w:hAnsi="宋体" w:cs="宋体"/>
          <w:szCs w:val="21"/>
        </w:rPr>
        <w:t>；</w:t>
      </w:r>
    </w:p>
    <w:p w14:paraId="7C3B0840">
      <w:pPr>
        <w:numPr>
          <w:ilvl w:val="2"/>
          <w:numId w:val="28"/>
        </w:numPr>
        <w:overflowPunct w:val="0"/>
        <w:rPr>
          <w:rFonts w:ascii="宋体" w:hAnsi="宋体" w:cs="宋体"/>
          <w:szCs w:val="21"/>
        </w:rPr>
      </w:pPr>
      <w:r>
        <w:rPr>
          <w:rFonts w:hint="eastAsia" w:ascii="宋体" w:hAnsi="宋体" w:cs="宋体"/>
          <w:szCs w:val="21"/>
        </w:rPr>
        <w:t>工装夹具需要</w:t>
      </w:r>
      <w:r>
        <w:rPr>
          <w:rFonts w:hint="eastAsia" w:ascii="宋体" w:hAnsi="宋体" w:cs="宋体"/>
          <w:spacing w:val="4"/>
          <w:szCs w:val="21"/>
        </w:rPr>
        <w:t>兼容图纸清单中的产品，并考虑快速换型；</w:t>
      </w:r>
    </w:p>
    <w:p w14:paraId="320866A5">
      <w:pPr>
        <w:numPr>
          <w:ilvl w:val="2"/>
          <w:numId w:val="28"/>
        </w:numPr>
        <w:overflowPunct w:val="0"/>
        <w:rPr>
          <w:rFonts w:ascii="宋体" w:hAnsi="宋体" w:cs="宋体"/>
          <w:szCs w:val="21"/>
        </w:rPr>
      </w:pPr>
      <w:r>
        <w:rPr>
          <w:rFonts w:hint="eastAsia" w:ascii="宋体" w:hAnsi="宋体" w:cs="宋体"/>
          <w:szCs w:val="21"/>
        </w:rPr>
        <w:t>上支架焊机：变压器采用 220KVA 及以上,最大短路电流在 30KA 及以上;</w:t>
      </w:r>
    </w:p>
    <w:p w14:paraId="28E495EE">
      <w:pPr>
        <w:numPr>
          <w:ilvl w:val="2"/>
          <w:numId w:val="28"/>
        </w:numPr>
        <w:overflowPunct w:val="0"/>
        <w:rPr>
          <w:rFonts w:ascii="宋体" w:hAnsi="宋体" w:cs="宋体"/>
          <w:szCs w:val="21"/>
        </w:rPr>
      </w:pPr>
      <w:r>
        <w:rPr>
          <w:rFonts w:hint="eastAsia" w:ascii="宋体" w:hAnsi="宋体" w:cs="宋体"/>
          <w:szCs w:val="21"/>
        </w:rPr>
        <w:t>节拍要求整线节拍≤2.6S/每件；</w:t>
      </w:r>
    </w:p>
    <w:p w14:paraId="13DD6DD9">
      <w:pPr>
        <w:numPr>
          <w:ilvl w:val="2"/>
          <w:numId w:val="28"/>
        </w:numPr>
        <w:overflowPunct w:val="0"/>
        <w:rPr>
          <w:rFonts w:ascii="宋体" w:hAnsi="宋体" w:cs="宋体"/>
          <w:szCs w:val="21"/>
        </w:rPr>
      </w:pPr>
      <w:r>
        <w:rPr>
          <w:rFonts w:hint="eastAsia" w:ascii="宋体" w:hAnsi="宋体" w:cs="宋体"/>
          <w:szCs w:val="21"/>
        </w:rPr>
        <w:t>清洗机出料口到焊接动力输送线之间的过渡，需考虑壳体平稳过渡；</w:t>
      </w:r>
    </w:p>
    <w:p w14:paraId="31B685CB">
      <w:pPr>
        <w:numPr>
          <w:ilvl w:val="2"/>
          <w:numId w:val="28"/>
        </w:numPr>
        <w:overflowPunct w:val="0"/>
        <w:rPr>
          <w:rFonts w:ascii="宋体" w:hAnsi="宋体" w:cs="宋体"/>
          <w:szCs w:val="21"/>
        </w:rPr>
      </w:pPr>
      <w:r>
        <w:rPr>
          <w:rFonts w:hint="eastAsia" w:ascii="宋体" w:hAnsi="宋体" w:cs="宋体"/>
          <w:szCs w:val="21"/>
        </w:rPr>
        <w:t>需配备</w:t>
      </w:r>
      <w:r>
        <w:rPr>
          <w:rFonts w:ascii="宋体" w:hAnsi="宋体" w:cs="宋体"/>
          <w:szCs w:val="21"/>
        </w:rPr>
        <w:t>焊后工件位置度及有无检测</w:t>
      </w:r>
      <w:r>
        <w:rPr>
          <w:rFonts w:hint="eastAsia" w:ascii="宋体" w:hAnsi="宋体" w:cs="宋体"/>
          <w:szCs w:val="21"/>
        </w:rPr>
        <w:t>；</w:t>
      </w:r>
    </w:p>
    <w:p w14:paraId="505EF3D5">
      <w:pPr>
        <w:numPr>
          <w:ilvl w:val="2"/>
          <w:numId w:val="28"/>
        </w:numPr>
        <w:overflowPunct w:val="0"/>
        <w:rPr>
          <w:rFonts w:ascii="宋体" w:hAnsi="宋体" w:cs="宋体"/>
          <w:szCs w:val="21"/>
        </w:rPr>
      </w:pPr>
      <w:r>
        <w:rPr>
          <w:rFonts w:hint="eastAsia" w:ascii="宋体" w:hAnsi="宋体" w:cs="宋体"/>
          <w:szCs w:val="21"/>
        </w:rPr>
        <w:t>米亚基</w:t>
      </w:r>
      <w:r>
        <w:rPr>
          <w:rFonts w:hint="eastAsia" w:ascii="宋体" w:hAnsi="宋体" w:cs="宋体"/>
          <w:szCs w:val="21"/>
          <w:lang w:val="en-US" w:eastAsia="zh-CN"/>
        </w:rPr>
        <w:t>甲方</w:t>
      </w:r>
      <w:r>
        <w:rPr>
          <w:rFonts w:hint="eastAsia" w:ascii="宋体" w:hAnsi="宋体" w:cs="宋体"/>
          <w:szCs w:val="21"/>
        </w:rPr>
        <w:t>提供</w:t>
      </w:r>
      <w:r>
        <w:rPr>
          <w:rFonts w:hint="eastAsia" w:ascii="宋体" w:hAnsi="宋体" w:cs="宋体"/>
          <w:szCs w:val="21"/>
          <w:lang w:eastAsia="zh-CN"/>
        </w:rPr>
        <w:t>，</w:t>
      </w:r>
      <w:r>
        <w:rPr>
          <w:rFonts w:hint="eastAsia" w:ascii="宋体" w:hAnsi="宋体" w:cs="宋体"/>
          <w:szCs w:val="21"/>
        </w:rPr>
        <w:t>安装</w:t>
      </w:r>
      <w:r>
        <w:rPr>
          <w:rFonts w:hint="eastAsia" w:ascii="宋体" w:hAnsi="宋体" w:cs="宋体"/>
          <w:szCs w:val="21"/>
          <w:lang w:val="en-US" w:eastAsia="zh-CN"/>
        </w:rPr>
        <w:t>以及与</w:t>
      </w:r>
      <w:r>
        <w:rPr>
          <w:rFonts w:hint="eastAsia" w:ascii="宋体" w:hAnsi="宋体" w:cs="宋体"/>
          <w:szCs w:val="21"/>
        </w:rPr>
        <w:t>plc信号交互由</w:t>
      </w:r>
      <w:r>
        <w:rPr>
          <w:rFonts w:hint="eastAsia" w:ascii="宋体" w:hAnsi="宋体" w:cs="宋体"/>
          <w:szCs w:val="21"/>
          <w:lang w:val="en-US" w:eastAsia="zh-CN"/>
        </w:rPr>
        <w:t>乙方</w:t>
      </w:r>
      <w:r>
        <w:rPr>
          <w:rFonts w:hint="eastAsia" w:ascii="宋体" w:hAnsi="宋体" w:cs="宋体"/>
          <w:szCs w:val="21"/>
        </w:rPr>
        <w:t>完成</w:t>
      </w:r>
      <w:r>
        <w:rPr>
          <w:rFonts w:hint="eastAsia" w:ascii="宋体" w:hAnsi="宋体" w:cs="宋体"/>
          <w:szCs w:val="21"/>
          <w:lang w:eastAsia="zh-CN"/>
        </w:rPr>
        <w:t>；</w:t>
      </w:r>
    </w:p>
    <w:p w14:paraId="53C716D8">
      <w:pPr>
        <w:numPr>
          <w:ilvl w:val="2"/>
          <w:numId w:val="28"/>
        </w:numPr>
        <w:overflowPunct w:val="0"/>
        <w:rPr>
          <w:rFonts w:ascii="宋体" w:hAnsi="宋体" w:cs="宋体"/>
          <w:szCs w:val="21"/>
        </w:rPr>
      </w:pPr>
      <w:r>
        <w:rPr>
          <w:rFonts w:hint="eastAsia" w:ascii="宋体" w:hAnsi="宋体" w:cs="宋体"/>
          <w:szCs w:val="21"/>
        </w:rPr>
        <w:t>工件焊接好后采用机器人双工位真空吸盘取下料 ，带必要的安全防护围栏，机器人品牌</w:t>
      </w:r>
      <w:r>
        <w:rPr>
          <w:rFonts w:ascii="宋体" w:hAnsi="宋体" w:cs="宋体"/>
          <w:szCs w:val="21"/>
        </w:rPr>
        <w:t>那智机器人（MZ</w:t>
      </w:r>
      <w:r>
        <w:rPr>
          <w:rFonts w:hint="eastAsia" w:ascii="宋体" w:hAnsi="宋体" w:cs="宋体"/>
          <w:szCs w:val="21"/>
        </w:rPr>
        <w:t>12</w:t>
      </w:r>
      <w:r>
        <w:rPr>
          <w:rFonts w:ascii="宋体" w:hAnsi="宋体" w:cs="宋体"/>
          <w:szCs w:val="21"/>
        </w:rPr>
        <w:t>-02）</w:t>
      </w:r>
      <w:r>
        <w:rPr>
          <w:rFonts w:hint="eastAsia" w:ascii="宋体" w:hAnsi="宋体" w:cs="宋体"/>
          <w:szCs w:val="21"/>
        </w:rPr>
        <w:t>。</w:t>
      </w:r>
    </w:p>
    <w:p w14:paraId="08F65BD2">
      <w:pPr>
        <w:numPr>
          <w:ilvl w:val="1"/>
          <w:numId w:val="28"/>
        </w:numPr>
        <w:overflowPunct w:val="0"/>
        <w:rPr>
          <w:rFonts w:ascii="宋体" w:hAnsi="宋体" w:cs="宋体"/>
          <w:szCs w:val="21"/>
        </w:rPr>
      </w:pPr>
      <w:r>
        <w:rPr>
          <w:rFonts w:hint="eastAsia" w:ascii="宋体" w:hAnsi="宋体" w:cs="宋体"/>
          <w:szCs w:val="21"/>
        </w:rPr>
        <w:t>三厂冲焊车间铜管焊机及接线柱自动化改造（含输送线）。</w:t>
      </w:r>
    </w:p>
    <w:p w14:paraId="13BE8BAB">
      <w:pPr>
        <w:numPr>
          <w:ilvl w:val="2"/>
          <w:numId w:val="28"/>
        </w:numPr>
        <w:overflowPunct w:val="0"/>
        <w:rPr>
          <w:rFonts w:ascii="宋体" w:hAnsi="宋体" w:cs="宋体"/>
          <w:szCs w:val="21"/>
        </w:rPr>
      </w:pPr>
      <w:r>
        <w:rPr>
          <w:rFonts w:ascii="宋体" w:hAnsi="宋体" w:cs="宋体"/>
          <w:szCs w:val="21"/>
        </w:rPr>
        <w:t>焊接线适用于</w:t>
      </w:r>
      <w:r>
        <w:rPr>
          <w:rFonts w:hint="eastAsia" w:ascii="宋体" w:hAnsi="宋体" w:cs="宋体"/>
          <w:szCs w:val="21"/>
        </w:rPr>
        <w:t>图纸清单中的产品</w:t>
      </w:r>
      <w:r>
        <w:rPr>
          <w:rFonts w:hint="eastAsia" w:ascii="宋体" w:hAnsi="宋体" w:cs="宋体"/>
          <w:szCs w:val="21"/>
          <w:lang w:eastAsia="zh-CN"/>
        </w:rPr>
        <w:t>，使用简单压力容器，并配备安全阀，需考虑前段脚板焊机和后段保护器架焊机的简单平稳过渡；</w:t>
      </w:r>
    </w:p>
    <w:p w14:paraId="4E52ACCB">
      <w:pPr>
        <w:numPr>
          <w:ilvl w:val="2"/>
          <w:numId w:val="28"/>
        </w:numPr>
        <w:overflowPunct w:val="0"/>
        <w:rPr>
          <w:rFonts w:ascii="宋体" w:hAnsi="宋体" w:cs="宋体"/>
          <w:szCs w:val="21"/>
        </w:rPr>
      </w:pPr>
      <w:r>
        <w:rPr>
          <w:rFonts w:hint="eastAsia" w:ascii="宋体" w:hAnsi="宋体" w:cs="宋体"/>
          <w:szCs w:val="21"/>
        </w:rPr>
        <w:t>接线柱全自动焊机（变压器、控制器甲方提供），接线柱、铜管焊机采用振动盘自动送料、机器人取放壳体，输送链及定位；</w:t>
      </w:r>
    </w:p>
    <w:p w14:paraId="3BAD80EA">
      <w:pPr>
        <w:numPr>
          <w:ilvl w:val="2"/>
          <w:numId w:val="28"/>
        </w:numPr>
        <w:overflowPunct w:val="0"/>
        <w:rPr>
          <w:rFonts w:ascii="宋体" w:hAnsi="宋体" w:cs="宋体"/>
          <w:szCs w:val="21"/>
        </w:rPr>
      </w:pPr>
      <w:r>
        <w:rPr>
          <w:rFonts w:hint="eastAsia" w:ascii="宋体" w:hAnsi="宋体" w:cs="宋体"/>
          <w:szCs w:val="21"/>
        </w:rPr>
        <w:t>壳体上下料机器人采用 FANUC M-20iD/25</w:t>
      </w:r>
      <w:r>
        <w:rPr>
          <w:rFonts w:hint="eastAsia" w:ascii="宋体" w:hAnsi="宋体" w:cs="宋体"/>
          <w:szCs w:val="21"/>
          <w:lang w:eastAsia="zh-CN"/>
        </w:rPr>
        <w:t>，机器配备安全围栏及安全门开光</w:t>
      </w:r>
      <w:r>
        <w:rPr>
          <w:rFonts w:hint="eastAsia" w:ascii="宋体" w:hAnsi="宋体" w:cs="宋体"/>
          <w:szCs w:val="21"/>
        </w:rPr>
        <w:t>；</w:t>
      </w:r>
    </w:p>
    <w:p w14:paraId="73210674">
      <w:pPr>
        <w:numPr>
          <w:ilvl w:val="2"/>
          <w:numId w:val="28"/>
        </w:numPr>
        <w:overflowPunct w:val="0"/>
        <w:rPr>
          <w:rFonts w:ascii="宋体" w:hAnsi="宋体" w:cs="宋体"/>
          <w:szCs w:val="21"/>
        </w:rPr>
      </w:pPr>
      <w:r>
        <w:rPr>
          <w:rFonts w:hint="eastAsia" w:ascii="宋体" w:hAnsi="宋体" w:cs="宋体"/>
          <w:szCs w:val="21"/>
        </w:rPr>
        <w:t>变压器采用 500KVA 及以上,最大短路电流在 70KA 及以上；</w:t>
      </w:r>
    </w:p>
    <w:p w14:paraId="5D0B2216">
      <w:pPr>
        <w:numPr>
          <w:ilvl w:val="2"/>
          <w:numId w:val="28"/>
        </w:numPr>
        <w:overflowPunct w:val="0"/>
        <w:rPr>
          <w:rFonts w:ascii="宋体" w:hAnsi="宋体" w:cs="宋体"/>
          <w:szCs w:val="21"/>
        </w:rPr>
      </w:pPr>
      <w:r>
        <w:rPr>
          <w:rFonts w:hint="eastAsia" w:ascii="宋体" w:hAnsi="宋体" w:cs="宋体"/>
          <w:szCs w:val="21"/>
        </w:rPr>
        <w:t>PLC采用西门子1200系列，博图V14/V15/V15.1编程软件，PNP输入输出，PLC程序须提供数采的必要数据，方便采集；</w:t>
      </w:r>
    </w:p>
    <w:p w14:paraId="7FEA04A4">
      <w:pPr>
        <w:numPr>
          <w:ilvl w:val="2"/>
          <w:numId w:val="28"/>
        </w:numPr>
        <w:overflowPunct w:val="0"/>
        <w:rPr>
          <w:rFonts w:ascii="宋体" w:hAnsi="宋体" w:cs="宋体"/>
          <w:szCs w:val="21"/>
        </w:rPr>
      </w:pPr>
      <w:r>
        <w:rPr>
          <w:rFonts w:hint="eastAsia" w:ascii="宋体" w:hAnsi="宋体" w:cs="宋体"/>
          <w:szCs w:val="21"/>
        </w:rPr>
        <w:t>米亚基</w:t>
      </w:r>
      <w:r>
        <w:rPr>
          <w:rFonts w:hint="eastAsia" w:ascii="宋体" w:hAnsi="宋体" w:cs="宋体"/>
          <w:szCs w:val="21"/>
          <w:lang w:val="en-US" w:eastAsia="zh-CN"/>
        </w:rPr>
        <w:t>甲方</w:t>
      </w:r>
      <w:r>
        <w:rPr>
          <w:rFonts w:hint="eastAsia" w:ascii="宋体" w:hAnsi="宋体" w:cs="宋体"/>
          <w:szCs w:val="21"/>
        </w:rPr>
        <w:t>提供</w:t>
      </w:r>
      <w:r>
        <w:rPr>
          <w:rFonts w:hint="eastAsia" w:ascii="宋体" w:hAnsi="宋体" w:cs="宋体"/>
          <w:szCs w:val="21"/>
          <w:lang w:eastAsia="zh-CN"/>
        </w:rPr>
        <w:t>，</w:t>
      </w:r>
      <w:r>
        <w:rPr>
          <w:rFonts w:hint="eastAsia" w:ascii="宋体" w:hAnsi="宋体" w:cs="宋体"/>
          <w:szCs w:val="21"/>
        </w:rPr>
        <w:t>安装和根plc信号交互由</w:t>
      </w:r>
      <w:r>
        <w:rPr>
          <w:rFonts w:hint="eastAsia" w:ascii="宋体" w:hAnsi="宋体" w:cs="宋体"/>
          <w:szCs w:val="21"/>
          <w:lang w:val="en-US" w:eastAsia="zh-CN"/>
        </w:rPr>
        <w:t>乙方</w:t>
      </w:r>
      <w:r>
        <w:rPr>
          <w:rFonts w:hint="eastAsia" w:ascii="宋体" w:hAnsi="宋体" w:cs="宋体"/>
          <w:szCs w:val="21"/>
        </w:rPr>
        <w:t>完成</w:t>
      </w:r>
      <w:r>
        <w:rPr>
          <w:rFonts w:hint="eastAsia" w:ascii="宋体" w:hAnsi="宋体" w:cs="宋体"/>
          <w:szCs w:val="21"/>
          <w:lang w:eastAsia="zh-CN"/>
        </w:rPr>
        <w:t>；</w:t>
      </w:r>
    </w:p>
    <w:p w14:paraId="7ADBF1B1">
      <w:pPr>
        <w:numPr>
          <w:ilvl w:val="2"/>
          <w:numId w:val="28"/>
        </w:numPr>
        <w:overflowPunct w:val="0"/>
        <w:rPr>
          <w:rFonts w:ascii="宋体" w:hAnsi="宋体" w:cs="宋体"/>
          <w:szCs w:val="21"/>
        </w:rPr>
      </w:pPr>
      <w:r>
        <w:rPr>
          <w:rFonts w:hint="eastAsia" w:ascii="宋体" w:hAnsi="宋体" w:cs="宋体"/>
          <w:szCs w:val="21"/>
        </w:rPr>
        <w:t>焊机与机器人采用整体式结构。</w:t>
      </w:r>
    </w:p>
    <w:p w14:paraId="78AE650D">
      <w:pPr>
        <w:numPr>
          <w:ilvl w:val="1"/>
          <w:numId w:val="28"/>
        </w:numPr>
        <w:overflowPunct w:val="0"/>
        <w:rPr>
          <w:rFonts w:ascii="宋体" w:hAnsi="宋体" w:cs="宋体"/>
          <w:szCs w:val="21"/>
        </w:rPr>
      </w:pPr>
      <w:r>
        <w:rPr>
          <w:rFonts w:hint="eastAsia" w:ascii="宋体" w:hAnsi="宋体" w:cs="宋体"/>
          <w:szCs w:val="21"/>
        </w:rPr>
        <w:t xml:space="preserve"> 设备的一般技术条件：</w:t>
      </w:r>
    </w:p>
    <w:p w14:paraId="6CAA2BA3">
      <w:pPr>
        <w:numPr>
          <w:ilvl w:val="2"/>
          <w:numId w:val="28"/>
        </w:numPr>
        <w:snapToGrid w:val="0"/>
        <w:rPr>
          <w:rFonts w:ascii="宋体" w:hAnsi="宋体" w:cs="宋体"/>
          <w:szCs w:val="21"/>
        </w:rPr>
      </w:pPr>
      <w:r>
        <w:rPr>
          <w:rFonts w:hint="eastAsia" w:ascii="宋体" w:hAnsi="宋体" w:cs="宋体"/>
          <w:szCs w:val="21"/>
        </w:rPr>
        <w:t>★设备的主机、附件及所有附属设施应采取设备安全防护措施,安全符合 CE 标准。设备图纸设计、零部件和各种仪表的计量单位全部采用国际单位（SI）标准；设备工作电源电压为380V，频率50HZ；电气系统具有抵御电网意外高频峰值电压冲击装置；电气柜应有通风、防尘、防震装置（焊接控制器必须）。</w:t>
      </w:r>
    </w:p>
    <w:p w14:paraId="179B1253">
      <w:pPr>
        <w:numPr>
          <w:ilvl w:val="2"/>
          <w:numId w:val="28"/>
        </w:numPr>
        <w:snapToGrid w:val="0"/>
        <w:rPr>
          <w:rFonts w:ascii="宋体" w:hAnsi="宋体" w:cs="宋体"/>
          <w:szCs w:val="21"/>
        </w:rPr>
      </w:pPr>
      <w:r>
        <w:rPr>
          <w:rFonts w:hint="eastAsia" w:ascii="宋体" w:hAnsi="宋体" w:cs="宋体"/>
          <w:szCs w:val="21"/>
        </w:rPr>
        <w:t>★所有设备使用软件（包含修改或读写用的编程软件等），必须为正版软件，且长期有效。</w:t>
      </w:r>
    </w:p>
    <w:p w14:paraId="6A486386">
      <w:pPr>
        <w:numPr>
          <w:ilvl w:val="2"/>
          <w:numId w:val="28"/>
        </w:numPr>
        <w:snapToGrid w:val="0"/>
        <w:rPr>
          <w:rFonts w:ascii="宋体" w:hAnsi="宋体" w:cs="宋体"/>
          <w:szCs w:val="21"/>
        </w:rPr>
      </w:pPr>
      <w:r>
        <w:rPr>
          <w:rFonts w:hint="eastAsia" w:ascii="宋体" w:hAnsi="宋体" w:cs="宋体"/>
          <w:szCs w:val="21"/>
        </w:rPr>
        <w:t>★所有专机设备都必须有详细的技术方案，技术方案内容包括设备结构图、工作原理图、节拍分解图、时序图和文字阐述；</w:t>
      </w:r>
    </w:p>
    <w:p w14:paraId="0D1CE7F0">
      <w:pPr>
        <w:numPr>
          <w:ilvl w:val="2"/>
          <w:numId w:val="28"/>
        </w:numPr>
        <w:snapToGrid w:val="0"/>
        <w:rPr>
          <w:rFonts w:ascii="宋体" w:hAnsi="宋体" w:cs="宋体"/>
          <w:szCs w:val="21"/>
        </w:rPr>
      </w:pPr>
      <w:r>
        <w:rPr>
          <w:rFonts w:hint="eastAsia" w:ascii="宋体" w:hAnsi="宋体" w:cs="宋体"/>
          <w:szCs w:val="21"/>
        </w:rPr>
        <w:t>★每台专机设备需有外形布置图，外形布置图需画在具体装配线的明确位置上；任何以简单矩形图替代外形布置图的，视作无技术方案；文字说明只是对招标文件上的重复描述的，视作无文字说明；</w:t>
      </w:r>
    </w:p>
    <w:p w14:paraId="33623617">
      <w:pPr>
        <w:numPr>
          <w:ilvl w:val="2"/>
          <w:numId w:val="28"/>
        </w:numPr>
        <w:snapToGrid w:val="0"/>
        <w:rPr>
          <w:rFonts w:ascii="宋体" w:hAnsi="宋体" w:cs="宋体"/>
          <w:bCs/>
          <w:szCs w:val="21"/>
        </w:rPr>
      </w:pPr>
      <w:r>
        <w:rPr>
          <w:rFonts w:hint="eastAsia" w:ascii="宋体" w:hAnsi="宋体" w:cs="宋体"/>
          <w:bCs/>
          <w:szCs w:val="21"/>
        </w:rPr>
        <w:t>设备设计制作时，须采用标准产品（如气缸、导轨、轴承）；</w:t>
      </w:r>
    </w:p>
    <w:p w14:paraId="7DF132C4">
      <w:pPr>
        <w:numPr>
          <w:ilvl w:val="2"/>
          <w:numId w:val="28"/>
        </w:numPr>
        <w:snapToGrid w:val="0"/>
        <w:rPr>
          <w:rFonts w:ascii="宋体" w:hAnsi="宋体" w:cs="宋体"/>
          <w:bCs/>
          <w:szCs w:val="21"/>
        </w:rPr>
      </w:pPr>
      <w:r>
        <w:rPr>
          <w:rFonts w:hint="eastAsia" w:ascii="宋体" w:hAnsi="宋体" w:cs="宋体"/>
          <w:bCs/>
          <w:szCs w:val="21"/>
        </w:rPr>
        <w:t>机床设计应充分考虑人体工程学和人身安全保护，保证操作者安全、舒适；并保证有足够的空间以使维修方便；</w:t>
      </w:r>
    </w:p>
    <w:p w14:paraId="3713E66E">
      <w:pPr>
        <w:numPr>
          <w:ilvl w:val="2"/>
          <w:numId w:val="28"/>
        </w:numPr>
        <w:snapToGrid w:val="0"/>
        <w:rPr>
          <w:rFonts w:ascii="宋体" w:hAnsi="宋体" w:cs="宋体"/>
          <w:bCs/>
          <w:szCs w:val="21"/>
        </w:rPr>
      </w:pPr>
      <w:r>
        <w:rPr>
          <w:rFonts w:hint="eastAsia" w:ascii="宋体" w:hAnsi="宋体" w:cs="宋体"/>
          <w:bCs/>
          <w:szCs w:val="21"/>
        </w:rPr>
        <w:t>设备应有防止误操作的功能及在个别元器件失灵的情况下防止破坏的功能；</w:t>
      </w:r>
    </w:p>
    <w:p w14:paraId="24CB292A">
      <w:pPr>
        <w:numPr>
          <w:ilvl w:val="2"/>
          <w:numId w:val="28"/>
        </w:numPr>
        <w:snapToGrid w:val="0"/>
        <w:rPr>
          <w:rFonts w:ascii="宋体" w:hAnsi="宋体" w:cs="宋体"/>
          <w:szCs w:val="21"/>
        </w:rPr>
      </w:pPr>
      <w:r>
        <w:rPr>
          <w:rFonts w:hint="eastAsia" w:ascii="宋体" w:hAnsi="宋体" w:cs="宋体"/>
          <w:szCs w:val="21"/>
        </w:rPr>
        <w:t>买方提供到</w:t>
      </w:r>
      <w:bookmarkStart w:id="26" w:name="OLE_LINK6"/>
      <w:bookmarkStart w:id="27" w:name="OLE_LINK5"/>
      <w:r>
        <w:rPr>
          <w:rFonts w:hint="eastAsia" w:ascii="宋体" w:hAnsi="宋体" w:cs="宋体"/>
          <w:szCs w:val="21"/>
        </w:rPr>
        <w:t>每台焊机空开位置1个</w:t>
      </w:r>
      <w:bookmarkEnd w:id="26"/>
      <w:bookmarkEnd w:id="27"/>
      <w:r>
        <w:rPr>
          <w:rFonts w:hint="eastAsia" w:ascii="宋体" w:hAnsi="宋体" w:cs="宋体"/>
          <w:szCs w:val="21"/>
        </w:rPr>
        <w:t>的动力电缆点位（点位位置审图时约定），。卖方每台设备配置独立的负荷断路器。</w:t>
      </w:r>
    </w:p>
    <w:p w14:paraId="274FDD3A">
      <w:pPr>
        <w:numPr>
          <w:ilvl w:val="2"/>
          <w:numId w:val="28"/>
        </w:numPr>
        <w:snapToGrid w:val="0"/>
        <w:rPr>
          <w:rFonts w:ascii="宋体" w:hAnsi="宋体" w:cs="宋体"/>
          <w:szCs w:val="21"/>
        </w:rPr>
      </w:pPr>
      <w:r>
        <w:rPr>
          <w:rFonts w:hint="eastAsia" w:ascii="宋体" w:hAnsi="宋体" w:cs="宋体"/>
          <w:szCs w:val="21"/>
        </w:rPr>
        <w:t>买方提供在每台焊机分水器位置1个冷却水点位，。卖方需对各设备的冷却水供水管路配管，温差较大的水管必须选择防冷凝水管材或进行保温处理。</w:t>
      </w:r>
    </w:p>
    <w:p w14:paraId="7A590E99">
      <w:pPr>
        <w:numPr>
          <w:ilvl w:val="2"/>
          <w:numId w:val="28"/>
        </w:numPr>
        <w:snapToGrid w:val="0"/>
        <w:rPr>
          <w:rFonts w:ascii="宋体" w:hAnsi="宋体" w:cs="宋体"/>
          <w:szCs w:val="21"/>
        </w:rPr>
      </w:pPr>
      <w:r>
        <w:rPr>
          <w:rFonts w:hint="eastAsia" w:ascii="宋体" w:hAnsi="宋体" w:cs="宋体"/>
          <w:szCs w:val="21"/>
        </w:rPr>
        <w:t>买方提供到每台焊机位置1个个压缩空气点位，配管至约定的设备的压缩空气管路进气点（审图时约定）。</w:t>
      </w:r>
    </w:p>
    <w:p w14:paraId="16509870">
      <w:pPr>
        <w:numPr>
          <w:ilvl w:val="2"/>
          <w:numId w:val="28"/>
        </w:numPr>
        <w:snapToGrid w:val="0"/>
        <w:rPr>
          <w:rFonts w:ascii="宋体" w:hAnsi="宋体" w:cs="宋体"/>
          <w:szCs w:val="21"/>
        </w:rPr>
      </w:pPr>
      <w:r>
        <w:rPr>
          <w:rFonts w:hint="eastAsia" w:ascii="宋体" w:hAnsi="宋体" w:cs="宋体"/>
          <w:szCs w:val="21"/>
        </w:rPr>
        <w:t>双手按钮/急停按钮，要求按钮直径为30mm，按钮盒采用铝合金铸造件，按钮外露部分需要用铜套保护，采用保护式双手按钮，双手按钮需具备0.5秒限时启动功能和按钮短路检测功能，合理的位置设置紧停按钮；</w:t>
      </w:r>
    </w:p>
    <w:p w14:paraId="42F52523">
      <w:pPr>
        <w:numPr>
          <w:ilvl w:val="2"/>
          <w:numId w:val="28"/>
        </w:numPr>
        <w:snapToGrid w:val="0"/>
        <w:rPr>
          <w:rFonts w:ascii="宋体" w:hAnsi="宋体" w:cs="宋体"/>
          <w:szCs w:val="21"/>
        </w:rPr>
      </w:pPr>
      <w:r>
        <w:rPr>
          <w:rFonts w:hint="eastAsia" w:ascii="宋体" w:hAnsi="宋体" w:cs="宋体"/>
          <w:szCs w:val="21"/>
        </w:rPr>
        <w:t>涉及有油和水的地方，必须配置不锈钢的接水盘或者接油盘；</w:t>
      </w:r>
    </w:p>
    <w:p w14:paraId="3580550E">
      <w:pPr>
        <w:numPr>
          <w:ilvl w:val="2"/>
          <w:numId w:val="28"/>
        </w:numPr>
        <w:snapToGrid w:val="0"/>
        <w:rPr>
          <w:rFonts w:ascii="宋体" w:hAnsi="宋体" w:cs="宋体"/>
          <w:szCs w:val="21"/>
        </w:rPr>
      </w:pPr>
      <w:r>
        <w:rPr>
          <w:rFonts w:hint="eastAsia" w:ascii="宋体" w:hAnsi="宋体" w:cs="宋体"/>
          <w:szCs w:val="21"/>
        </w:rPr>
        <w:t>电气柜必须配置符合国家标准的机柜空调；</w:t>
      </w:r>
    </w:p>
    <w:p w14:paraId="71E903A3">
      <w:pPr>
        <w:numPr>
          <w:ilvl w:val="2"/>
          <w:numId w:val="28"/>
        </w:numPr>
        <w:snapToGrid w:val="0"/>
        <w:rPr>
          <w:rFonts w:ascii="宋体" w:hAnsi="宋体" w:cs="宋体"/>
          <w:szCs w:val="21"/>
        </w:rPr>
      </w:pPr>
      <w:r>
        <w:rPr>
          <w:rFonts w:hint="eastAsia" w:ascii="宋体" w:hAnsi="宋体" w:cs="宋体"/>
          <w:szCs w:val="21"/>
        </w:rPr>
        <w:t>关于PLC选型，所有设备的控制系统均需要配置网口，要采用128点，不足部分采用扩展模块，输入输出点必须留有10%或以上空余点，PLC采用晶体管输出，PLC控制程序必须具备PLC触点粘连检测功能，防止运动部件发生意外动作，执行机构和PLC输出点之间须加24VDC微型继电器隔离，防止触点损坏；</w:t>
      </w:r>
    </w:p>
    <w:p w14:paraId="1D6BBFDF">
      <w:pPr>
        <w:numPr>
          <w:ilvl w:val="2"/>
          <w:numId w:val="28"/>
        </w:numPr>
        <w:snapToGrid w:val="0"/>
        <w:rPr>
          <w:rFonts w:ascii="宋体" w:hAnsi="宋体" w:cs="宋体"/>
          <w:szCs w:val="21"/>
        </w:rPr>
      </w:pPr>
      <w:r>
        <w:rPr>
          <w:rFonts w:hint="eastAsia" w:ascii="宋体" w:hAnsi="宋体" w:cs="宋体"/>
          <w:szCs w:val="21"/>
        </w:rPr>
        <w:t>气压系统具有意外断气、断电维持工作构件正确位置等安全保护措施及装置；</w:t>
      </w:r>
    </w:p>
    <w:p w14:paraId="1EA47ACF">
      <w:pPr>
        <w:numPr>
          <w:ilvl w:val="2"/>
          <w:numId w:val="28"/>
        </w:numPr>
        <w:snapToGrid w:val="0"/>
        <w:rPr>
          <w:rFonts w:ascii="宋体" w:hAnsi="宋体" w:cs="宋体"/>
          <w:szCs w:val="21"/>
        </w:rPr>
      </w:pPr>
      <w:r>
        <w:rPr>
          <w:rFonts w:hint="eastAsia" w:ascii="宋体" w:hAnsi="宋体" w:cs="宋体"/>
          <w:szCs w:val="21"/>
        </w:rPr>
        <w:t>设备电源切断后，有关的电器信息如加工工艺参数、程序记忆存储时间等不得少于1000小时，电源用完前，要有警告信号显示；</w:t>
      </w:r>
    </w:p>
    <w:p w14:paraId="3E6FFCCF">
      <w:pPr>
        <w:numPr>
          <w:ilvl w:val="2"/>
          <w:numId w:val="28"/>
        </w:numPr>
        <w:snapToGrid w:val="0"/>
        <w:rPr>
          <w:rFonts w:ascii="宋体" w:hAnsi="宋体" w:cs="宋体"/>
          <w:szCs w:val="21"/>
        </w:rPr>
      </w:pPr>
      <w:r>
        <w:rPr>
          <w:rFonts w:hint="eastAsia" w:ascii="宋体" w:hAnsi="宋体" w:cs="宋体"/>
          <w:szCs w:val="21"/>
        </w:rPr>
        <w:t>设备照明：电器柜内照明开门即亮，焊接工位低压局部照明，与设备控制电源分路供电；电气柜备有 24V 直流电源，和符合国标的带漏电保护器的单相交流插座1个和三相交流插座1个，并考虑插座间距以保证可以同时插入；</w:t>
      </w:r>
    </w:p>
    <w:p w14:paraId="08289F09">
      <w:pPr>
        <w:numPr>
          <w:ilvl w:val="2"/>
          <w:numId w:val="28"/>
        </w:numPr>
        <w:snapToGrid w:val="0"/>
        <w:rPr>
          <w:rFonts w:ascii="宋体" w:hAnsi="宋体" w:cs="宋体"/>
          <w:szCs w:val="21"/>
        </w:rPr>
      </w:pPr>
      <w:r>
        <w:rPr>
          <w:rFonts w:hint="eastAsia" w:ascii="宋体" w:hAnsi="宋体" w:cs="宋体"/>
          <w:szCs w:val="21"/>
        </w:rPr>
        <w:t>接近开关等现场用传感器尽量采用插头式结构；</w:t>
      </w:r>
    </w:p>
    <w:p w14:paraId="5A36F6C2">
      <w:pPr>
        <w:numPr>
          <w:ilvl w:val="2"/>
          <w:numId w:val="28"/>
        </w:numPr>
        <w:snapToGrid w:val="0"/>
        <w:rPr>
          <w:rFonts w:ascii="宋体" w:hAnsi="宋体" w:cs="宋体"/>
          <w:szCs w:val="21"/>
        </w:rPr>
      </w:pPr>
      <w:r>
        <w:rPr>
          <w:rFonts w:hint="eastAsia" w:ascii="宋体" w:hAnsi="宋体" w:cs="宋体"/>
          <w:szCs w:val="21"/>
        </w:rPr>
        <w:t>采用手动\自动两种控制方式。自动方式用于连续生产；手动方式用于人工工作、设备调试、维修。</w:t>
      </w:r>
    </w:p>
    <w:p w14:paraId="52691F70">
      <w:pPr>
        <w:numPr>
          <w:ilvl w:val="2"/>
          <w:numId w:val="28"/>
        </w:numPr>
        <w:snapToGrid w:val="0"/>
        <w:rPr>
          <w:rFonts w:ascii="宋体" w:hAnsi="宋体" w:cs="宋体"/>
          <w:szCs w:val="21"/>
        </w:rPr>
      </w:pPr>
      <w:r>
        <w:rPr>
          <w:rFonts w:hint="eastAsia" w:ascii="宋体" w:hAnsi="宋体" w:cs="宋体"/>
          <w:szCs w:val="21"/>
        </w:rPr>
        <w:t>加装安全锁死装置，以防维修人员维修时设备突然启动；</w:t>
      </w:r>
    </w:p>
    <w:p w14:paraId="680ABD10">
      <w:pPr>
        <w:numPr>
          <w:ilvl w:val="2"/>
          <w:numId w:val="28"/>
        </w:numPr>
        <w:snapToGrid w:val="0"/>
        <w:rPr>
          <w:rFonts w:ascii="宋体" w:hAnsi="宋体" w:cs="宋体"/>
          <w:szCs w:val="21"/>
        </w:rPr>
      </w:pPr>
      <w:r>
        <w:rPr>
          <w:rFonts w:hint="eastAsia" w:ascii="宋体" w:hAnsi="宋体" w:cs="宋体"/>
          <w:szCs w:val="21"/>
        </w:rPr>
        <w:t>电器控制若采用数控系统方案，须配置计算机通信标准通用接口和网口，所有设备必须能够插入网线，输入IP地址即可进行远程通讯和控制；</w:t>
      </w:r>
    </w:p>
    <w:p w14:paraId="6C1799AB">
      <w:pPr>
        <w:numPr>
          <w:ilvl w:val="2"/>
          <w:numId w:val="28"/>
        </w:numPr>
        <w:snapToGrid w:val="0"/>
        <w:rPr>
          <w:rFonts w:ascii="宋体" w:hAnsi="宋体" w:cs="宋体"/>
          <w:szCs w:val="21"/>
        </w:rPr>
      </w:pPr>
      <w:r>
        <w:rPr>
          <w:rFonts w:hint="eastAsia" w:ascii="宋体" w:hAnsi="宋体" w:cs="宋体"/>
          <w:szCs w:val="21"/>
        </w:rPr>
        <w:t>设备工作噪声：＜78dB；</w:t>
      </w:r>
    </w:p>
    <w:p w14:paraId="00DE11D1">
      <w:pPr>
        <w:numPr>
          <w:ilvl w:val="2"/>
          <w:numId w:val="28"/>
        </w:numPr>
        <w:snapToGrid w:val="0"/>
        <w:rPr>
          <w:rFonts w:ascii="宋体" w:hAnsi="宋体" w:cs="宋体"/>
          <w:szCs w:val="21"/>
        </w:rPr>
      </w:pPr>
      <w:r>
        <w:rPr>
          <w:rFonts w:hint="eastAsia" w:ascii="宋体" w:hAnsi="宋体" w:cs="宋体"/>
          <w:szCs w:val="21"/>
        </w:rPr>
        <w:t>电气柜与设备各部份间联接采用金属矩形盒和排管空中走线、管，各带电部件必须有效接地；</w:t>
      </w:r>
    </w:p>
    <w:p w14:paraId="4AD78280">
      <w:pPr>
        <w:numPr>
          <w:ilvl w:val="2"/>
          <w:numId w:val="28"/>
        </w:numPr>
        <w:snapToGrid w:val="0"/>
        <w:rPr>
          <w:rFonts w:ascii="宋体" w:hAnsi="宋体" w:cs="宋体"/>
          <w:szCs w:val="21"/>
        </w:rPr>
      </w:pPr>
      <w:r>
        <w:rPr>
          <w:rFonts w:hint="eastAsia" w:ascii="宋体" w:hAnsi="宋体" w:cs="宋体"/>
          <w:szCs w:val="21"/>
        </w:rPr>
        <w:t>设备所选用外购配件，卖方应将产品样本、产品说明书与设备一并提供给买方。卖方应将易损件随设备提供给买方，并保证协助买方日后采购维修备件。同时卖方应将易损件清单（包括型号、名称、数量、原生产厂家和中国国内供应商）随设备提供给买方，并保证协助买方日后采购维修备件；</w:t>
      </w:r>
    </w:p>
    <w:p w14:paraId="509F3196">
      <w:pPr>
        <w:numPr>
          <w:ilvl w:val="2"/>
          <w:numId w:val="28"/>
        </w:numPr>
        <w:snapToGrid w:val="0"/>
        <w:rPr>
          <w:rFonts w:ascii="宋体" w:hAnsi="宋体" w:cs="宋体"/>
          <w:szCs w:val="21"/>
        </w:rPr>
      </w:pPr>
      <w:r>
        <w:rPr>
          <w:rFonts w:hint="eastAsia" w:ascii="宋体" w:hAnsi="宋体" w:cs="宋体"/>
          <w:szCs w:val="21"/>
        </w:rPr>
        <w:t>★卖方在设计制造时，禁止使用国家“高耗能落后机电设备（产品）淘汰目录”内的机电产品，优先使用国家“节能机电设备（产品）推荐目录”内的机电产品。投标文件中需说明降低设备能源消耗方面的设计特点。且卖方需详细说明所设计设备的综合能耗；</w:t>
      </w:r>
    </w:p>
    <w:p w14:paraId="1DE70830">
      <w:pPr>
        <w:numPr>
          <w:ilvl w:val="2"/>
          <w:numId w:val="28"/>
        </w:numPr>
        <w:snapToGrid w:val="0"/>
        <w:rPr>
          <w:rFonts w:ascii="宋体" w:hAnsi="宋体" w:cs="宋体"/>
          <w:szCs w:val="21"/>
        </w:rPr>
      </w:pPr>
      <w:r>
        <w:rPr>
          <w:rFonts w:hint="eastAsia" w:ascii="宋体" w:hAnsi="宋体" w:cs="宋体"/>
          <w:szCs w:val="21"/>
        </w:rPr>
        <w:t>卖方必须承诺在设备设计和制造过程中不侵犯他人知识产权，如有发生，卖方承担一切由此引发的责任；双方共同拥有在设备设计和制造过程中产生的专利所有权和使用权。卖方在投标时，需提供拥有的专利清单；</w:t>
      </w:r>
    </w:p>
    <w:p w14:paraId="4D529F3A">
      <w:pPr>
        <w:numPr>
          <w:ilvl w:val="2"/>
          <w:numId w:val="28"/>
        </w:numPr>
        <w:snapToGrid w:val="0"/>
        <w:rPr>
          <w:rFonts w:ascii="宋体" w:hAnsi="宋体" w:cs="宋体"/>
          <w:szCs w:val="21"/>
        </w:rPr>
      </w:pPr>
      <w:r>
        <w:rPr>
          <w:rFonts w:hint="eastAsia" w:ascii="宋体" w:hAnsi="宋体" w:cs="宋体"/>
          <w:szCs w:val="21"/>
        </w:rPr>
        <w:t>机床必须按“交钥匙工程”要求，包括调水平的垫块、螺栓和专用脚板；买方只须提供必要的电、水、气和起重条件；</w:t>
      </w:r>
    </w:p>
    <w:p w14:paraId="0AB4E8A6">
      <w:pPr>
        <w:numPr>
          <w:ilvl w:val="2"/>
          <w:numId w:val="28"/>
        </w:numPr>
        <w:snapToGrid w:val="0"/>
        <w:rPr>
          <w:rFonts w:ascii="宋体" w:hAnsi="宋体" w:cs="宋体"/>
          <w:szCs w:val="21"/>
        </w:rPr>
      </w:pPr>
      <w:r>
        <w:rPr>
          <w:rFonts w:hint="eastAsia" w:ascii="宋体" w:hAnsi="宋体" w:cs="宋体"/>
          <w:szCs w:val="21"/>
        </w:rPr>
        <w:t>每台设备的电气柜必须配备文件安放夹，文件安放夹内放置塑封的电气原理图、气路图、油路图、水路图等设备资料（各1套）。</w:t>
      </w:r>
    </w:p>
    <w:p w14:paraId="7D7157BF">
      <w:pPr>
        <w:numPr>
          <w:ilvl w:val="2"/>
          <w:numId w:val="28"/>
        </w:numPr>
        <w:snapToGrid w:val="0"/>
        <w:rPr>
          <w:rFonts w:ascii="宋体" w:hAnsi="宋体" w:cs="宋体"/>
          <w:szCs w:val="21"/>
        </w:rPr>
      </w:pPr>
      <w:r>
        <w:rPr>
          <w:rFonts w:hint="eastAsia" w:ascii="宋体" w:hAnsi="宋体" w:cs="宋体"/>
          <w:szCs w:val="21"/>
        </w:rPr>
        <w:t>电气图：必须配备足够的自身保护，比如每个电机需要配备电机保护空气开关，输入和输出必须分路供电保护，每路电磁阀必须配备过流保护等。</w:t>
      </w:r>
    </w:p>
    <w:p w14:paraId="19C3BCDE">
      <w:pPr>
        <w:numPr>
          <w:ilvl w:val="2"/>
          <w:numId w:val="28"/>
        </w:numPr>
        <w:snapToGrid w:val="0"/>
        <w:rPr>
          <w:rFonts w:ascii="宋体" w:hAnsi="宋体" w:cs="宋体"/>
          <w:szCs w:val="21"/>
        </w:rPr>
      </w:pPr>
      <w:r>
        <w:rPr>
          <w:rFonts w:hint="eastAsia" w:ascii="宋体" w:hAnsi="宋体" w:cs="宋体"/>
          <w:szCs w:val="21"/>
        </w:rPr>
        <w:t>工装及易损件图纸要求：厂家要提供工装及易损件的全套图纸（立体图、工程图、装配图）。工装为直接接触工件的零件及相关部分，易损件为活动机构容易损坏的部件。同时厂家要提供这些工装及易损件的安装尺寸。</w:t>
      </w:r>
    </w:p>
    <w:p w14:paraId="5FEDFA74">
      <w:pPr>
        <w:numPr>
          <w:ilvl w:val="2"/>
          <w:numId w:val="28"/>
        </w:numPr>
        <w:snapToGrid w:val="0"/>
        <w:rPr>
          <w:rFonts w:ascii="宋体" w:hAnsi="宋体" w:cs="宋体"/>
          <w:szCs w:val="21"/>
        </w:rPr>
      </w:pPr>
      <w:r>
        <w:rPr>
          <w:rFonts w:hint="eastAsia" w:ascii="宋体" w:hAnsi="宋体" w:cs="宋体"/>
          <w:szCs w:val="21"/>
        </w:rPr>
        <w:t>所有焊机控制器</w:t>
      </w:r>
      <w:r>
        <w:rPr>
          <w:rFonts w:hint="eastAsia" w:ascii="宋体" w:hAnsi="宋体" w:cs="宋体"/>
          <w:szCs w:val="21"/>
          <w:lang w:val="en-US" w:eastAsia="zh-CN"/>
        </w:rPr>
        <w:t>内置或者</w:t>
      </w:r>
      <w:r>
        <w:rPr>
          <w:rFonts w:hint="eastAsia" w:ascii="宋体" w:hAnsi="宋体" w:cs="宋体"/>
          <w:szCs w:val="21"/>
        </w:rPr>
        <w:t>外挂</w:t>
      </w:r>
      <w:r>
        <w:rPr>
          <w:rFonts w:hint="eastAsia" w:ascii="宋体" w:hAnsi="宋体" w:cs="宋体"/>
          <w:szCs w:val="21"/>
          <w:lang w:val="en-US" w:eastAsia="zh-CN"/>
        </w:rPr>
        <w:t>式</w:t>
      </w:r>
      <w:r>
        <w:rPr>
          <w:rFonts w:hint="eastAsia" w:ascii="宋体" w:hAnsi="宋体" w:cs="宋体"/>
          <w:szCs w:val="21"/>
        </w:rPr>
        <w:t xml:space="preserve"> </w:t>
      </w:r>
      <w:r>
        <w:rPr>
          <w:rFonts w:hint="eastAsia" w:ascii="宋体" w:hAnsi="宋体" w:cs="宋体"/>
          <w:szCs w:val="21"/>
          <w:lang w:val="en-US" w:eastAsia="zh-CN"/>
        </w:rPr>
        <w:t>,</w:t>
      </w:r>
      <w:r>
        <w:rPr>
          <w:rFonts w:hint="eastAsia" w:ascii="宋体" w:hAnsi="宋体" w:cs="宋体"/>
          <w:szCs w:val="21"/>
        </w:rPr>
        <w:t>控制器必须有防震措施</w:t>
      </w:r>
    </w:p>
    <w:p w14:paraId="23953701">
      <w:pPr>
        <w:numPr>
          <w:ilvl w:val="2"/>
          <w:numId w:val="28"/>
        </w:numPr>
        <w:snapToGrid w:val="0"/>
        <w:rPr>
          <w:rFonts w:ascii="宋体" w:hAnsi="宋体" w:cs="宋体"/>
          <w:szCs w:val="21"/>
        </w:rPr>
      </w:pPr>
      <w:r>
        <w:rPr>
          <w:rFonts w:hint="eastAsia" w:ascii="宋体" w:hAnsi="宋体" w:cs="宋体"/>
          <w:szCs w:val="21"/>
        </w:rPr>
        <w:t>★买方对设备油漆颜色要求：一厂上支架焊机主体颜色为RAL6011，三厂接线柱、铜管焊机主体颜色RAL7038。</w:t>
      </w:r>
    </w:p>
    <w:p w14:paraId="047F6D82">
      <w:pPr>
        <w:numPr>
          <w:ilvl w:val="2"/>
          <w:numId w:val="28"/>
        </w:numPr>
        <w:snapToGrid w:val="0"/>
        <w:rPr>
          <w:rFonts w:ascii="宋体" w:hAnsi="宋体" w:cs="宋体"/>
          <w:szCs w:val="21"/>
        </w:rPr>
      </w:pPr>
      <w:r>
        <w:rPr>
          <w:rFonts w:hint="eastAsia" w:ascii="宋体" w:hAnsi="宋体" w:cs="宋体"/>
          <w:szCs w:val="21"/>
        </w:rPr>
        <w:t>★卖方向买方提供下列图纸、技术资料</w:t>
      </w:r>
    </w:p>
    <w:p w14:paraId="5DB08F56">
      <w:pPr>
        <w:widowControl/>
        <w:adjustRightInd w:val="0"/>
        <w:snapToGrid w:val="0"/>
        <w:ind w:left="1239" w:leftChars="590" w:firstLine="21" w:firstLineChars="10"/>
        <w:rPr>
          <w:rFonts w:ascii="宋体" w:hAnsi="宋体" w:cs="宋体"/>
          <w:szCs w:val="21"/>
        </w:rPr>
      </w:pPr>
      <w:r>
        <w:rPr>
          <w:rFonts w:hint="eastAsia" w:ascii="宋体" w:hAnsi="宋体" w:cs="宋体"/>
          <w:szCs w:val="21"/>
        </w:rPr>
        <w:t>（1）所提供资料的目录清单；</w:t>
      </w:r>
    </w:p>
    <w:p w14:paraId="2DC8F1B2">
      <w:pPr>
        <w:widowControl/>
        <w:adjustRightInd w:val="0"/>
        <w:snapToGrid w:val="0"/>
        <w:ind w:left="1239" w:leftChars="590" w:firstLine="21" w:firstLineChars="10"/>
        <w:rPr>
          <w:rFonts w:ascii="宋体" w:hAnsi="宋体" w:cs="宋体"/>
          <w:szCs w:val="21"/>
        </w:rPr>
      </w:pPr>
      <w:r>
        <w:rPr>
          <w:rFonts w:hint="eastAsia" w:ascii="宋体" w:hAnsi="宋体" w:cs="宋体"/>
          <w:szCs w:val="21"/>
        </w:rPr>
        <w:t>（2）提供设计所选用的标准；</w:t>
      </w:r>
    </w:p>
    <w:p w14:paraId="20898B11">
      <w:pPr>
        <w:widowControl/>
        <w:adjustRightInd w:val="0"/>
        <w:snapToGrid w:val="0"/>
        <w:ind w:left="1239" w:leftChars="590" w:firstLine="21" w:firstLineChars="10"/>
        <w:rPr>
          <w:rFonts w:ascii="宋体" w:hAnsi="宋体" w:cs="宋体"/>
          <w:szCs w:val="21"/>
        </w:rPr>
      </w:pPr>
      <w:r>
        <w:rPr>
          <w:rFonts w:hint="eastAsia" w:ascii="宋体" w:hAnsi="宋体" w:cs="宋体"/>
          <w:szCs w:val="21"/>
        </w:rPr>
        <w:t>（3）设备使用说明书各3套。包括：主要部件保养细则和详细的设备操作、保养、维修说明书、机床总布置图、基础图、设备起吊简图、电气气路原理图、（机床型号、润滑点位置图、铭牌贴在机床醒目位置）、电气程序图和时序图、编程手册、电气开关位置图、设备工装图及电极等易损易耗零件图等。所有上述资料备份电子档资料1份；</w:t>
      </w:r>
    </w:p>
    <w:p w14:paraId="4C25834C">
      <w:pPr>
        <w:widowControl/>
        <w:adjustRightInd w:val="0"/>
        <w:snapToGrid w:val="0"/>
        <w:ind w:left="1260" w:leftChars="600"/>
        <w:rPr>
          <w:rFonts w:ascii="宋体" w:hAnsi="宋体" w:cs="宋体"/>
          <w:szCs w:val="21"/>
        </w:rPr>
      </w:pPr>
      <w:r>
        <w:rPr>
          <w:rFonts w:hint="eastAsia" w:ascii="宋体" w:hAnsi="宋体" w:cs="宋体"/>
          <w:szCs w:val="21"/>
        </w:rPr>
        <w:t>（4）设备上的储气罐生产厂家必须具备特种设备生产资质，设备交付时卖方必须提供符合国家规定的相关特种设备资料；</w:t>
      </w:r>
    </w:p>
    <w:p w14:paraId="7BBD4293">
      <w:pPr>
        <w:widowControl/>
        <w:adjustRightInd w:val="0"/>
        <w:snapToGrid w:val="0"/>
        <w:ind w:left="1260" w:leftChars="600"/>
        <w:rPr>
          <w:rFonts w:ascii="宋体" w:hAnsi="宋体" w:cs="宋体"/>
          <w:szCs w:val="21"/>
        </w:rPr>
      </w:pPr>
      <w:r>
        <w:rPr>
          <w:rFonts w:hint="eastAsia" w:ascii="宋体" w:hAnsi="宋体" w:cs="宋体"/>
          <w:szCs w:val="21"/>
        </w:rPr>
        <w:t>（5）卖方必须提供设备出厂精度的标准和实测记录、试验报告、鉴定报告（即设备合格证书）；</w:t>
      </w:r>
    </w:p>
    <w:p w14:paraId="35628745">
      <w:pPr>
        <w:overflowPunct w:val="0"/>
        <w:ind w:left="1260" w:leftChars="600"/>
        <w:rPr>
          <w:rFonts w:ascii="宋体" w:hAnsi="宋体" w:cs="宋体"/>
          <w:szCs w:val="21"/>
        </w:rPr>
      </w:pPr>
      <w:r>
        <w:rPr>
          <w:rFonts w:hint="eastAsia" w:ascii="宋体" w:hAnsi="宋体" w:cs="宋体"/>
          <w:szCs w:val="21"/>
        </w:rPr>
        <w:t>（6）卖方必须每台设备提供常用维修工具一套（内六角扳手1套、10寸活动扳手1把，8寸活动扳手1班，润滑油壶1把，12寸中齿锉刀1把，一字、十字螺丝大各1把，其他必要专用工具）；</w:t>
      </w:r>
    </w:p>
    <w:p w14:paraId="144BCF1A">
      <w:pPr>
        <w:widowControl/>
        <w:numPr>
          <w:ilvl w:val="0"/>
          <w:numId w:val="29"/>
        </w:numPr>
        <w:adjustRightInd w:val="0"/>
        <w:snapToGrid w:val="0"/>
        <w:ind w:left="1480"/>
        <w:rPr>
          <w:rFonts w:ascii="宋体" w:hAnsi="宋体" w:cs="宋体"/>
          <w:szCs w:val="21"/>
        </w:rPr>
      </w:pPr>
    </w:p>
    <w:p w14:paraId="70C26836">
      <w:pPr>
        <w:numPr>
          <w:ilvl w:val="1"/>
          <w:numId w:val="28"/>
        </w:numPr>
        <w:overflowPunct w:val="0"/>
        <w:rPr>
          <w:rFonts w:ascii="宋体" w:hAnsi="宋体" w:cs="宋体"/>
          <w:szCs w:val="21"/>
        </w:rPr>
      </w:pPr>
      <w:r>
        <w:rPr>
          <w:rFonts w:hint="eastAsia" w:ascii="宋体" w:hAnsi="宋体" w:cs="宋体"/>
          <w:szCs w:val="21"/>
        </w:rPr>
        <w:t>设备专项要求</w:t>
      </w:r>
    </w:p>
    <w:p w14:paraId="5DFF1B55">
      <w:pPr>
        <w:numPr>
          <w:ilvl w:val="2"/>
          <w:numId w:val="28"/>
        </w:numPr>
        <w:overflowPunct w:val="0"/>
        <w:ind w:hanging="668"/>
        <w:rPr>
          <w:rFonts w:ascii="宋体" w:hAnsi="宋体" w:cs="宋体"/>
          <w:szCs w:val="21"/>
        </w:rPr>
      </w:pPr>
      <w:r>
        <w:rPr>
          <w:rFonts w:hint="eastAsia" w:ascii="宋体" w:hAnsi="宋体" w:cs="宋体"/>
          <w:szCs w:val="21"/>
        </w:rPr>
        <w:t>所有设备具有足够的机械强度和刚性，且保证在连续工作时机身不变形。设备安全区域需用防护网、防护板或光幕隔离；</w:t>
      </w:r>
    </w:p>
    <w:p w14:paraId="7B74441D">
      <w:pPr>
        <w:numPr>
          <w:ilvl w:val="2"/>
          <w:numId w:val="28"/>
        </w:numPr>
        <w:overflowPunct w:val="0"/>
        <w:ind w:hanging="668"/>
        <w:rPr>
          <w:rFonts w:ascii="宋体" w:hAnsi="宋体" w:cs="宋体"/>
          <w:szCs w:val="21"/>
        </w:rPr>
      </w:pPr>
      <w:r>
        <w:rPr>
          <w:rFonts w:hint="eastAsia" w:ascii="宋体" w:hAnsi="宋体" w:cs="宋体"/>
          <w:szCs w:val="21"/>
        </w:rPr>
        <w:t>所有焊接次级回路不能使用黄铜替代紫铜、铬锆铜，90°L型板采用一体加工或冷弯折；</w:t>
      </w:r>
    </w:p>
    <w:p w14:paraId="41D4AD41">
      <w:pPr>
        <w:numPr>
          <w:ilvl w:val="2"/>
          <w:numId w:val="28"/>
        </w:numPr>
        <w:overflowPunct w:val="0"/>
        <w:ind w:hanging="668"/>
        <w:rPr>
          <w:rFonts w:ascii="宋体" w:hAnsi="宋体" w:cs="宋体"/>
          <w:szCs w:val="21"/>
        </w:rPr>
      </w:pPr>
      <w:r>
        <w:rPr>
          <w:rFonts w:hint="eastAsia" w:ascii="宋体" w:hAnsi="宋体" w:cs="宋体"/>
          <w:b/>
          <w:bCs/>
          <w:szCs w:val="21"/>
        </w:rPr>
        <w:t>上支架焊接线</w:t>
      </w:r>
    </w:p>
    <w:p w14:paraId="1F56C4CB">
      <w:pPr>
        <w:pStyle w:val="180"/>
        <w:numPr>
          <w:ilvl w:val="0"/>
          <w:numId w:val="30"/>
        </w:numPr>
        <w:overflowPunct w:val="0"/>
        <w:ind w:left="1245" w:firstLine="15" w:firstLineChars="0"/>
        <w:rPr>
          <w:rFonts w:ascii="宋体" w:hAnsi="宋体" w:cs="宋体"/>
          <w:szCs w:val="21"/>
        </w:rPr>
      </w:pPr>
      <w:r>
        <w:rPr>
          <w:rFonts w:hint="eastAsia" w:ascii="宋体" w:hAnsi="宋体" w:cs="宋体"/>
          <w:szCs w:val="21"/>
        </w:rPr>
        <w:t>上支架焊机采用中频电源，能适用23.02.002、23.02.005M支架的焊接；</w:t>
      </w:r>
    </w:p>
    <w:p w14:paraId="13DC0BB5">
      <w:pPr>
        <w:pStyle w:val="180"/>
        <w:numPr>
          <w:ilvl w:val="0"/>
          <w:numId w:val="30"/>
        </w:numPr>
        <w:overflowPunct w:val="0"/>
        <w:ind w:left="1245" w:firstLine="15" w:firstLineChars="0"/>
        <w:rPr>
          <w:rFonts w:ascii="宋体" w:hAnsi="宋体" w:cs="宋体"/>
          <w:szCs w:val="21"/>
        </w:rPr>
      </w:pPr>
      <w:r>
        <w:rPr>
          <w:rFonts w:hint="eastAsia" w:ascii="宋体" w:hAnsi="宋体" w:cs="宋体"/>
          <w:szCs w:val="21"/>
        </w:rPr>
        <w:t>上支架采用自动上料方式，采用振盘自动送料,同时保证质量和节拍；</w:t>
      </w:r>
    </w:p>
    <w:p w14:paraId="59C64018">
      <w:pPr>
        <w:pStyle w:val="180"/>
        <w:numPr>
          <w:ilvl w:val="0"/>
          <w:numId w:val="30"/>
        </w:numPr>
        <w:overflowPunct w:val="0"/>
        <w:ind w:left="1245" w:firstLine="15" w:firstLineChars="0"/>
        <w:rPr>
          <w:rFonts w:ascii="宋体" w:hAnsi="宋体" w:cs="宋体"/>
          <w:szCs w:val="21"/>
        </w:rPr>
      </w:pPr>
      <w:r>
        <w:rPr>
          <w:rFonts w:hint="eastAsia" w:ascii="宋体" w:hAnsi="宋体" w:cs="宋体"/>
          <w:szCs w:val="21"/>
        </w:rPr>
        <w:t>焊接质量要求：</w:t>
      </w:r>
    </w:p>
    <w:p w14:paraId="47F87A28">
      <w:pPr>
        <w:numPr>
          <w:ilvl w:val="0"/>
          <w:numId w:val="31"/>
        </w:numPr>
        <w:overflowPunct w:val="0"/>
        <w:snapToGrid w:val="0"/>
        <w:spacing w:beforeLines="25"/>
        <w:ind w:left="1260" w:firstLine="0"/>
        <w:rPr>
          <w:rFonts w:ascii="宋体" w:hAnsi="宋体"/>
          <w:szCs w:val="21"/>
        </w:rPr>
      </w:pPr>
      <w:r>
        <w:rPr>
          <w:rFonts w:ascii="宋体" w:hAnsi="宋体"/>
          <w:szCs w:val="21"/>
        </w:rPr>
        <w:t>上支架焊后形状位置须符合图纸要求</w:t>
      </w:r>
      <w:r>
        <w:rPr>
          <w:rFonts w:hint="eastAsia" w:ascii="宋体" w:hAnsi="宋体"/>
          <w:szCs w:val="21"/>
        </w:rPr>
        <w:t>；</w:t>
      </w:r>
    </w:p>
    <w:p w14:paraId="4ABC186D">
      <w:pPr>
        <w:widowControl/>
        <w:numPr>
          <w:ilvl w:val="0"/>
          <w:numId w:val="31"/>
        </w:numPr>
        <w:adjustRightInd w:val="0"/>
        <w:snapToGrid w:val="0"/>
        <w:spacing w:beforeLines="25"/>
        <w:ind w:left="1260" w:firstLine="0"/>
        <w:rPr>
          <w:rFonts w:ascii="宋体" w:hAnsi="宋体"/>
          <w:szCs w:val="21"/>
        </w:rPr>
      </w:pPr>
      <w:r>
        <w:rPr>
          <w:rFonts w:ascii="宋体" w:hAnsi="宋体"/>
          <w:szCs w:val="21"/>
        </w:rPr>
        <w:t>上支架焊后的抗剪切试验：</w:t>
      </w:r>
      <w:r>
        <w:rPr>
          <w:rFonts w:hint="eastAsia" w:ascii="宋体" w:hAnsi="宋体"/>
          <w:color w:val="auto"/>
          <w:szCs w:val="21"/>
          <w:highlight w:val="none"/>
        </w:rPr>
        <w:t>手工敲击上壳体支架或利用上支架强度检测台检测，至支架变形，无任何焊点脱落</w:t>
      </w:r>
      <w:r>
        <w:rPr>
          <w:rFonts w:hint="eastAsia" w:ascii="宋体" w:hAnsi="宋体"/>
          <w:szCs w:val="21"/>
        </w:rPr>
        <w:t>；</w:t>
      </w:r>
    </w:p>
    <w:p w14:paraId="556C2061">
      <w:pPr>
        <w:numPr>
          <w:ilvl w:val="2"/>
          <w:numId w:val="28"/>
        </w:numPr>
        <w:overflowPunct w:val="0"/>
        <w:ind w:hanging="668"/>
        <w:rPr>
          <w:rFonts w:ascii="宋体" w:hAnsi="宋体" w:cs="宋体"/>
          <w:szCs w:val="21"/>
        </w:rPr>
      </w:pPr>
      <w:r>
        <w:rPr>
          <w:rFonts w:hint="eastAsia" w:ascii="宋体" w:hAnsi="宋体" w:cs="宋体"/>
          <w:szCs w:val="21"/>
        </w:rPr>
        <w:t>工艺管、吸气管、排气管人工焊机改自动焊机</w:t>
      </w:r>
    </w:p>
    <w:p w14:paraId="5B6EE9FC">
      <w:pPr>
        <w:widowControl/>
        <w:numPr>
          <w:ilvl w:val="0"/>
          <w:numId w:val="32"/>
        </w:numPr>
        <w:adjustRightInd w:val="0"/>
        <w:snapToGrid w:val="0"/>
        <w:ind w:left="1260" w:leftChars="600"/>
        <w:rPr>
          <w:rFonts w:ascii="宋体" w:hAnsi="宋体" w:cs="宋体"/>
          <w:szCs w:val="21"/>
        </w:rPr>
      </w:pPr>
      <w:r>
        <w:rPr>
          <w:rFonts w:hint="eastAsia" w:ascii="宋体" w:hAnsi="宋体" w:cs="宋体"/>
          <w:szCs w:val="21"/>
        </w:rPr>
        <w:t>工艺管自动焊机、吸气管自动焊机和排气管自动焊机，原采用单工位立式人工上下壳体，人工送铜管的的配置，改为机器人自动上下壳体，自动吹管送铜管，保证质量和节拍；</w:t>
      </w:r>
    </w:p>
    <w:p w14:paraId="6626F901">
      <w:pPr>
        <w:numPr>
          <w:ilvl w:val="0"/>
          <w:numId w:val="32"/>
        </w:numPr>
        <w:adjustRightInd w:val="0"/>
        <w:snapToGrid w:val="0"/>
        <w:ind w:left="1260" w:leftChars="600"/>
        <w:rPr>
          <w:rFonts w:ascii="宋体" w:hAnsi="宋体" w:cs="宋体"/>
          <w:szCs w:val="21"/>
        </w:rPr>
      </w:pPr>
      <w:r>
        <w:rPr>
          <w:rFonts w:hint="eastAsia" w:ascii="宋体" w:hAnsi="宋体" w:cs="宋体"/>
          <w:szCs w:val="21"/>
        </w:rPr>
        <w:t>下电极座满足自动化定位；</w:t>
      </w:r>
    </w:p>
    <w:p w14:paraId="03065FE1">
      <w:pPr>
        <w:numPr>
          <w:ilvl w:val="0"/>
          <w:numId w:val="32"/>
        </w:numPr>
        <w:adjustRightInd w:val="0"/>
        <w:snapToGrid w:val="0"/>
        <w:ind w:left="1260" w:leftChars="600"/>
        <w:rPr>
          <w:rFonts w:ascii="宋体" w:hAnsi="宋体" w:cs="宋体"/>
          <w:szCs w:val="21"/>
        </w:rPr>
      </w:pPr>
      <w:r>
        <w:rPr>
          <w:rFonts w:hint="eastAsia" w:ascii="宋体" w:hAnsi="宋体" w:cs="宋体"/>
          <w:szCs w:val="21"/>
        </w:rPr>
        <w:t>排序方式：</w:t>
      </w:r>
      <w:bookmarkStart w:id="28" w:name="OLE_LINK1"/>
      <w:bookmarkStart w:id="29" w:name="OLE_LINK2"/>
      <w:r>
        <w:rPr>
          <w:rFonts w:hint="eastAsia" w:ascii="宋体" w:hAnsi="宋体" w:cs="宋体"/>
          <w:szCs w:val="21"/>
        </w:rPr>
        <w:t>工艺管、吸气管、接线柱、排气管。</w:t>
      </w:r>
      <w:bookmarkEnd w:id="28"/>
      <w:bookmarkEnd w:id="29"/>
    </w:p>
    <w:p w14:paraId="3FE77C71">
      <w:pPr>
        <w:numPr>
          <w:ilvl w:val="0"/>
          <w:numId w:val="32"/>
        </w:numPr>
        <w:adjustRightInd w:val="0"/>
        <w:snapToGrid w:val="0"/>
        <w:ind w:left="1260" w:leftChars="600"/>
        <w:rPr>
          <w:rFonts w:ascii="宋体" w:hAnsi="宋体" w:cs="宋体"/>
          <w:szCs w:val="21"/>
        </w:rPr>
      </w:pPr>
      <w:r>
        <w:rPr>
          <w:rFonts w:hint="eastAsia" w:ascii="宋体" w:hAnsi="宋体" w:cs="宋体"/>
          <w:szCs w:val="21"/>
        </w:rPr>
        <w:t>焊接质量要求：</w:t>
      </w:r>
    </w:p>
    <w:p w14:paraId="27864BCF">
      <w:pPr>
        <w:numPr>
          <w:ilvl w:val="0"/>
          <w:numId w:val="33"/>
        </w:numPr>
        <w:adjustRightInd w:val="0"/>
        <w:snapToGrid w:val="0"/>
        <w:ind w:left="1896" w:leftChars="800" w:hanging="216" w:hangingChars="103"/>
        <w:rPr>
          <w:rFonts w:ascii="宋体" w:hAnsi="宋体" w:cs="宋体"/>
          <w:szCs w:val="21"/>
        </w:rPr>
      </w:pPr>
      <w:r>
        <w:rPr>
          <w:rFonts w:hint="eastAsia" w:ascii="宋体" w:hAnsi="宋体" w:cs="宋体"/>
          <w:szCs w:val="21"/>
        </w:rPr>
        <w:t>工艺管、吸气管、排气管中频焊机焊接质量要求(各管铜管不合格率＜10PPM)</w:t>
      </w:r>
    </w:p>
    <w:p w14:paraId="7A4AF5DB">
      <w:pPr>
        <w:numPr>
          <w:ilvl w:val="0"/>
          <w:numId w:val="33"/>
        </w:numPr>
        <w:adjustRightInd w:val="0"/>
        <w:snapToGrid w:val="0"/>
        <w:ind w:left="1896" w:leftChars="800" w:hanging="216" w:hangingChars="103"/>
        <w:rPr>
          <w:rFonts w:ascii="宋体" w:hAnsi="宋体" w:cs="宋体"/>
          <w:szCs w:val="21"/>
        </w:rPr>
      </w:pPr>
      <w:r>
        <w:rPr>
          <w:rFonts w:hint="eastAsia" w:ascii="宋体" w:hAnsi="宋体" w:cs="宋体"/>
          <w:szCs w:val="21"/>
        </w:rPr>
        <w:t>铜管焊后的强度应承受定向和定幅度的反复弯曲（铜管弯25度，上下左右四个方向，各弯4次）后，不断、不开裂；</w:t>
      </w:r>
    </w:p>
    <w:p w14:paraId="719D8042">
      <w:pPr>
        <w:numPr>
          <w:ilvl w:val="0"/>
          <w:numId w:val="33"/>
        </w:numPr>
        <w:overflowPunct w:val="0"/>
        <w:ind w:left="1896" w:leftChars="800" w:hanging="216" w:hangingChars="103"/>
        <w:rPr>
          <w:rFonts w:ascii="宋体" w:hAnsi="宋体" w:cs="宋体"/>
          <w:szCs w:val="21"/>
        </w:rPr>
      </w:pPr>
      <w:r>
        <w:rPr>
          <w:rFonts w:hint="eastAsia" w:ascii="宋体" w:hAnsi="宋体" w:cs="宋体"/>
          <w:szCs w:val="21"/>
        </w:rPr>
        <w:t>各铜管焊接后与壳体间焊缝应均匀，铜管不能碰伤、变形；</w:t>
      </w:r>
    </w:p>
    <w:p w14:paraId="39E6802B">
      <w:pPr>
        <w:widowControl/>
        <w:numPr>
          <w:ilvl w:val="0"/>
          <w:numId w:val="33"/>
        </w:numPr>
        <w:overflowPunct w:val="0"/>
        <w:ind w:left="1896" w:leftChars="800" w:hanging="216" w:hangingChars="103"/>
        <w:rPr>
          <w:rFonts w:ascii="宋体" w:hAnsi="宋体" w:cs="宋体"/>
          <w:szCs w:val="21"/>
        </w:rPr>
      </w:pPr>
      <w:r>
        <w:rPr>
          <w:rFonts w:hint="eastAsia" w:ascii="宋体" w:hAnsi="宋体" w:cs="宋体"/>
          <w:szCs w:val="21"/>
        </w:rPr>
        <w:t>铜管焊后的气密性检验：铜管焊接部位在不低于1.7MPa高压气体下，不应泄漏；</w:t>
      </w:r>
    </w:p>
    <w:p w14:paraId="77C4DCFF">
      <w:pPr>
        <w:numPr>
          <w:ilvl w:val="2"/>
          <w:numId w:val="28"/>
        </w:numPr>
        <w:overflowPunct w:val="0"/>
        <w:ind w:hanging="668"/>
        <w:rPr>
          <w:rFonts w:ascii="宋体" w:hAnsi="宋体" w:cs="宋体"/>
          <w:szCs w:val="21"/>
        </w:rPr>
      </w:pPr>
      <w:r>
        <w:rPr>
          <w:rFonts w:hint="eastAsia" w:ascii="宋体" w:hAnsi="宋体" w:cs="宋体"/>
          <w:szCs w:val="21"/>
        </w:rPr>
        <w:t>接线柱人工焊机改自动焊机</w:t>
      </w:r>
    </w:p>
    <w:p w14:paraId="259B7A24">
      <w:pPr>
        <w:widowControl/>
        <w:numPr>
          <w:ilvl w:val="0"/>
          <w:numId w:val="34"/>
        </w:numPr>
        <w:adjustRightInd w:val="0"/>
        <w:snapToGrid w:val="0"/>
        <w:ind w:left="1260" w:leftChars="600" w:right="90"/>
        <w:rPr>
          <w:rFonts w:ascii="宋体" w:hAnsi="宋体" w:cs="宋体"/>
          <w:szCs w:val="21"/>
        </w:rPr>
      </w:pPr>
      <w:r>
        <w:rPr>
          <w:rFonts w:hint="eastAsia" w:ascii="宋体" w:hAnsi="宋体" w:cs="宋体"/>
          <w:szCs w:val="21"/>
        </w:rPr>
        <w:t>接线柱焊机自动化改造，采用原单工位立式人工上下壳体，人工放接线柱的配置焊机。改为自动送接线柱，机器人自动上下壳体，接线柱采用振盘自动送料，同时保证质量和节拍；</w:t>
      </w:r>
    </w:p>
    <w:p w14:paraId="227512D0">
      <w:pPr>
        <w:widowControl/>
        <w:numPr>
          <w:ilvl w:val="0"/>
          <w:numId w:val="34"/>
        </w:numPr>
        <w:adjustRightInd w:val="0"/>
        <w:snapToGrid w:val="0"/>
        <w:ind w:left="1260" w:leftChars="600" w:right="90"/>
        <w:rPr>
          <w:rFonts w:ascii="宋体" w:hAnsi="宋体" w:cs="宋体"/>
          <w:szCs w:val="21"/>
        </w:rPr>
      </w:pPr>
      <w:r>
        <w:rPr>
          <w:rFonts w:hint="eastAsia" w:ascii="宋体" w:hAnsi="宋体" w:cs="宋体"/>
          <w:szCs w:val="21"/>
        </w:rPr>
        <w:t>新增一套接线柱机架，接线柱采用自动焊接，焊接控制器及变压器由需方提供其它部件由供方提供。采用机器人上下壳体，接线柱采用振盘自动送料，同时保证质量和节拍；</w:t>
      </w:r>
    </w:p>
    <w:p w14:paraId="65419EA6">
      <w:pPr>
        <w:numPr>
          <w:ilvl w:val="0"/>
          <w:numId w:val="34"/>
        </w:numPr>
        <w:adjustRightInd w:val="0"/>
        <w:snapToGrid w:val="0"/>
        <w:ind w:left="1260" w:leftChars="600" w:right="90"/>
        <w:rPr>
          <w:rFonts w:ascii="宋体" w:hAnsi="宋体" w:cs="宋体"/>
          <w:szCs w:val="21"/>
        </w:rPr>
      </w:pPr>
      <w:r>
        <w:rPr>
          <w:rFonts w:hint="eastAsia" w:ascii="宋体" w:hAnsi="宋体" w:cs="宋体"/>
          <w:szCs w:val="21"/>
        </w:rPr>
        <w:t>下电极座满足自动化定位；</w:t>
      </w:r>
    </w:p>
    <w:p w14:paraId="73F37347">
      <w:pPr>
        <w:numPr>
          <w:ilvl w:val="0"/>
          <w:numId w:val="34"/>
        </w:numPr>
        <w:adjustRightInd w:val="0"/>
        <w:snapToGrid w:val="0"/>
        <w:ind w:left="1260" w:leftChars="600" w:right="90"/>
        <w:rPr>
          <w:rFonts w:ascii="宋体" w:hAnsi="宋体" w:cs="宋体"/>
          <w:szCs w:val="21"/>
        </w:rPr>
      </w:pPr>
      <w:bookmarkStart w:id="30" w:name="OLE_LINK3"/>
      <w:bookmarkStart w:id="31" w:name="OLE_LINK4"/>
      <w:r>
        <w:rPr>
          <w:rFonts w:hint="eastAsia" w:ascii="宋体" w:hAnsi="宋体" w:cs="宋体"/>
          <w:szCs w:val="21"/>
        </w:rPr>
        <w:t>接线柱自动焊接完成后，壳体自动转线到</w:t>
      </w:r>
      <w:r>
        <w:rPr>
          <w:rFonts w:hint="eastAsia" w:ascii="宋体" w:hAnsi="宋体" w:cs="宋体"/>
          <w:szCs w:val="21"/>
          <w:highlight w:val="none"/>
        </w:rPr>
        <w:t>排气管</w:t>
      </w:r>
      <w:r>
        <w:rPr>
          <w:rFonts w:hint="eastAsia" w:ascii="宋体" w:hAnsi="宋体" w:cs="宋体"/>
          <w:szCs w:val="21"/>
        </w:rPr>
        <w:t>焊机输送线上；</w:t>
      </w:r>
    </w:p>
    <w:bookmarkEnd w:id="30"/>
    <w:bookmarkEnd w:id="31"/>
    <w:p w14:paraId="6DA89533">
      <w:pPr>
        <w:numPr>
          <w:ilvl w:val="0"/>
          <w:numId w:val="34"/>
        </w:numPr>
        <w:adjustRightInd w:val="0"/>
        <w:snapToGrid w:val="0"/>
        <w:ind w:left="1260" w:leftChars="600" w:right="90"/>
        <w:rPr>
          <w:rFonts w:ascii="宋体" w:hAnsi="宋体" w:cs="宋体"/>
          <w:szCs w:val="21"/>
        </w:rPr>
      </w:pPr>
      <w:r>
        <w:rPr>
          <w:rFonts w:hint="eastAsia" w:ascii="宋体" w:hAnsi="宋体" w:cs="宋体"/>
          <w:szCs w:val="21"/>
        </w:rPr>
        <w:t>焊接质量要求：</w:t>
      </w:r>
    </w:p>
    <w:p w14:paraId="695F7C1F">
      <w:pPr>
        <w:numPr>
          <w:ilvl w:val="0"/>
          <w:numId w:val="33"/>
        </w:numPr>
        <w:adjustRightInd w:val="0"/>
        <w:snapToGrid w:val="0"/>
        <w:ind w:left="1896" w:leftChars="800" w:right="90" w:hanging="216" w:hangingChars="103"/>
        <w:rPr>
          <w:rFonts w:ascii="宋体" w:hAnsi="宋体" w:cs="宋体"/>
          <w:szCs w:val="21"/>
        </w:rPr>
      </w:pPr>
      <w:r>
        <w:rPr>
          <w:rFonts w:hint="eastAsia" w:ascii="宋体" w:hAnsi="宋体" w:cs="宋体"/>
          <w:szCs w:val="21"/>
        </w:rPr>
        <w:t>接线柱中频焊机焊接质量要求(设备原因导致接线柱不合格率0PPM)</w:t>
      </w:r>
    </w:p>
    <w:p w14:paraId="0C02FECE">
      <w:pPr>
        <w:numPr>
          <w:ilvl w:val="0"/>
          <w:numId w:val="33"/>
        </w:numPr>
        <w:adjustRightInd w:val="0"/>
        <w:snapToGrid w:val="0"/>
        <w:ind w:left="1896" w:leftChars="800" w:right="90" w:hanging="216" w:hangingChars="103"/>
        <w:rPr>
          <w:rFonts w:ascii="宋体" w:hAnsi="宋体" w:cs="宋体"/>
          <w:szCs w:val="21"/>
        </w:rPr>
      </w:pPr>
      <w:r>
        <w:rPr>
          <w:rFonts w:hint="eastAsia" w:ascii="宋体" w:hAnsi="宋体" w:cs="宋体"/>
          <w:szCs w:val="21"/>
        </w:rPr>
        <w:t>接线柱焊后的强度应承受敲击接线柱至严重变形，焊环无脱落；</w:t>
      </w:r>
    </w:p>
    <w:p w14:paraId="768FD789">
      <w:pPr>
        <w:numPr>
          <w:ilvl w:val="0"/>
          <w:numId w:val="33"/>
        </w:numPr>
        <w:overflowPunct w:val="0"/>
        <w:ind w:left="1896" w:leftChars="800" w:right="90" w:hanging="216" w:hangingChars="103"/>
        <w:rPr>
          <w:rFonts w:ascii="宋体" w:hAnsi="宋体" w:cs="宋体"/>
          <w:szCs w:val="21"/>
        </w:rPr>
      </w:pPr>
      <w:r>
        <w:rPr>
          <w:rFonts w:hint="eastAsia" w:ascii="宋体" w:hAnsi="宋体" w:cs="宋体"/>
          <w:szCs w:val="21"/>
        </w:rPr>
        <w:t>各接线柱焊接后与壳体间焊缝应均匀，接线柱不能碰伤、变形；</w:t>
      </w:r>
    </w:p>
    <w:p w14:paraId="65233C14">
      <w:pPr>
        <w:widowControl/>
        <w:numPr>
          <w:ilvl w:val="0"/>
          <w:numId w:val="33"/>
        </w:numPr>
        <w:overflowPunct w:val="0"/>
        <w:ind w:left="1896" w:leftChars="800" w:right="90" w:hanging="216" w:hangingChars="103"/>
        <w:rPr>
          <w:rFonts w:ascii="宋体" w:hAnsi="宋体" w:cs="宋体"/>
          <w:szCs w:val="21"/>
        </w:rPr>
      </w:pPr>
      <w:r>
        <w:rPr>
          <w:rFonts w:hint="eastAsia" w:ascii="宋体" w:hAnsi="宋体" w:cs="宋体"/>
          <w:szCs w:val="21"/>
        </w:rPr>
        <w:t>接线柱焊后的气密性检验：接线柱焊接部位在不低于1.7MPa高压气体下，不应泄漏；</w:t>
      </w:r>
    </w:p>
    <w:p w14:paraId="34B3B795">
      <w:pPr>
        <w:numPr>
          <w:ilvl w:val="2"/>
          <w:numId w:val="28"/>
        </w:numPr>
        <w:overflowPunct w:val="0"/>
        <w:ind w:hanging="668"/>
        <w:rPr>
          <w:rFonts w:ascii="宋体" w:hAnsi="宋体" w:cs="宋体"/>
          <w:szCs w:val="21"/>
        </w:rPr>
      </w:pPr>
      <w:r>
        <w:rPr>
          <w:rFonts w:hint="eastAsia" w:ascii="宋体" w:hAnsi="宋体" w:cs="宋体"/>
          <w:szCs w:val="21"/>
        </w:rPr>
        <w:t>输送线</w:t>
      </w:r>
    </w:p>
    <w:p w14:paraId="3CAA864F">
      <w:pPr>
        <w:pStyle w:val="180"/>
        <w:numPr>
          <w:ilvl w:val="0"/>
          <w:numId w:val="35"/>
        </w:numPr>
        <w:overflowPunct w:val="0"/>
        <w:ind w:left="1260" w:leftChars="600" w:firstLine="0" w:firstLineChars="0"/>
        <w:rPr>
          <w:rFonts w:ascii="宋体" w:hAnsi="宋体" w:cs="宋体"/>
          <w:szCs w:val="21"/>
        </w:rPr>
      </w:pPr>
      <w:r>
        <w:rPr>
          <w:rFonts w:hint="eastAsia" w:ascii="宋体" w:hAnsi="宋体" w:cs="宋体"/>
          <w:szCs w:val="21"/>
        </w:rPr>
        <w:t>根据现场实际，可提供改造或者新做输送线，配合铜管焊机的自动化改造，确保焊好铜管的壳体顺利并按照要求到后道设备，链条需要有足够的支撑，防止荡落下来，输送线中间空位，需要有不锈钢挡板遮挡，防止壳体异常行走卡主链条；</w:t>
      </w:r>
    </w:p>
    <w:p w14:paraId="4DFCE71D">
      <w:pPr>
        <w:pStyle w:val="180"/>
        <w:numPr>
          <w:ilvl w:val="0"/>
          <w:numId w:val="35"/>
        </w:numPr>
        <w:overflowPunct w:val="0"/>
        <w:ind w:left="1260" w:leftChars="600" w:firstLine="0" w:firstLineChars="0"/>
        <w:rPr>
          <w:rFonts w:ascii="宋体" w:hAnsi="宋体" w:cs="宋体"/>
          <w:szCs w:val="21"/>
        </w:rPr>
      </w:pPr>
      <w:r>
        <w:rPr>
          <w:rFonts w:hint="eastAsia" w:ascii="宋体" w:hAnsi="宋体" w:cs="宋体"/>
          <w:szCs w:val="21"/>
        </w:rPr>
        <w:t>输送线，采用08B-U2链条输送（必须选择标准链条，两侧有加强片），两根链条中间空挡处安装顶升阻挡机构，其余空挡的地方均封闭，防止壳体掉落；</w:t>
      </w:r>
    </w:p>
    <w:p w14:paraId="0483D373">
      <w:pPr>
        <w:pStyle w:val="180"/>
        <w:numPr>
          <w:ilvl w:val="0"/>
          <w:numId w:val="36"/>
        </w:numPr>
        <w:overflowPunct w:val="0"/>
        <w:ind w:left="1260" w:leftChars="600" w:firstLine="0" w:firstLineChars="0"/>
        <w:rPr>
          <w:rFonts w:ascii="宋体" w:hAnsi="宋体" w:cs="宋体"/>
          <w:szCs w:val="21"/>
        </w:rPr>
      </w:pPr>
      <w:r>
        <w:rPr>
          <w:rFonts w:hint="eastAsia" w:ascii="宋体" w:hAnsi="宋体" w:cs="宋体"/>
          <w:szCs w:val="21"/>
        </w:rPr>
        <w:t>输送线在机械手上下料位置采用阻挡顶升机构，安全防护网门开关控制；</w:t>
      </w:r>
    </w:p>
    <w:p w14:paraId="28747887">
      <w:pPr>
        <w:pStyle w:val="180"/>
        <w:numPr>
          <w:ilvl w:val="0"/>
          <w:numId w:val="36"/>
        </w:numPr>
        <w:overflowPunct w:val="0"/>
        <w:ind w:left="1260" w:leftChars="600" w:firstLine="0" w:firstLineChars="0"/>
        <w:rPr>
          <w:rFonts w:ascii="宋体" w:hAnsi="宋体" w:cs="宋体"/>
          <w:szCs w:val="21"/>
        </w:rPr>
      </w:pPr>
      <w:r>
        <w:rPr>
          <w:rFonts w:hint="eastAsia" w:ascii="宋体" w:hAnsi="宋体" w:cs="宋体"/>
          <w:szCs w:val="21"/>
        </w:rPr>
        <w:t>线体上配置的阻挡气缸，建议选择Festo双导杆气缸,缸径选择合理，保证强度；</w:t>
      </w:r>
    </w:p>
    <w:p w14:paraId="66AD6D45">
      <w:pPr>
        <w:pStyle w:val="180"/>
        <w:overflowPunct w:val="0"/>
        <w:ind w:left="1260" w:leftChars="600" w:firstLine="0" w:firstLineChars="0"/>
        <w:rPr>
          <w:rFonts w:ascii="宋体" w:hAnsi="宋体" w:cs="宋体"/>
          <w:szCs w:val="21"/>
        </w:rPr>
      </w:pPr>
      <w:r>
        <w:rPr>
          <w:rFonts w:hint="eastAsia" w:ascii="宋体" w:hAnsi="宋体" w:cs="宋体"/>
          <w:szCs w:val="21"/>
        </w:rPr>
        <w:t>（5）链条穿行时考虑过渡或者倒角；</w:t>
      </w:r>
    </w:p>
    <w:p w14:paraId="645B6FBC">
      <w:pPr>
        <w:pStyle w:val="180"/>
        <w:overflowPunct w:val="0"/>
        <w:ind w:left="1260" w:leftChars="600" w:firstLine="0" w:firstLineChars="0"/>
        <w:rPr>
          <w:rFonts w:ascii="宋体" w:hAnsi="宋体" w:cs="宋体"/>
          <w:szCs w:val="21"/>
        </w:rPr>
      </w:pPr>
      <w:r>
        <w:rPr>
          <w:rFonts w:hint="eastAsia" w:ascii="宋体" w:hAnsi="宋体" w:cs="宋体"/>
          <w:szCs w:val="21"/>
        </w:rPr>
        <w:t>（6）张紧调节需要方便简单，张紧需要考虑调节位置，链条可做下弯处理，以方便调节张紧，驱动减速机必须带有超负载保护和报警功能，防止拉断链条。</w:t>
      </w:r>
    </w:p>
    <w:p w14:paraId="5EC352FD">
      <w:pPr>
        <w:numPr>
          <w:ilvl w:val="1"/>
          <w:numId w:val="28"/>
        </w:numPr>
        <w:overflowPunct w:val="0"/>
        <w:rPr>
          <w:rFonts w:ascii="宋体" w:hAnsi="宋体" w:cs="宋体"/>
          <w:szCs w:val="21"/>
        </w:rPr>
      </w:pPr>
      <w:r>
        <w:rPr>
          <w:rFonts w:hint="eastAsia" w:ascii="宋体" w:hAnsi="宋体" w:cs="宋体"/>
          <w:szCs w:val="21"/>
        </w:rPr>
        <w:t>焊接整线应能满足买方的质量标准，不合格率＜100PPM；</w:t>
      </w:r>
    </w:p>
    <w:p w14:paraId="058EFB5F">
      <w:pPr>
        <w:numPr>
          <w:ilvl w:val="1"/>
          <w:numId w:val="28"/>
        </w:numPr>
        <w:overflowPunct w:val="0"/>
        <w:rPr>
          <w:rFonts w:ascii="宋体" w:hAnsi="宋体" w:cs="宋体"/>
          <w:szCs w:val="21"/>
        </w:rPr>
      </w:pPr>
      <w:r>
        <w:rPr>
          <w:rFonts w:hint="eastAsia" w:ascii="宋体" w:hAnsi="宋体" w:cs="宋体"/>
          <w:szCs w:val="21"/>
        </w:rPr>
        <w:t>焊机设备需设置合理的防护罩，防护网，包容设备的焊接工作区、该机的所有机械部件和管路及辅助系统，以保护操作者和维修者安全；</w:t>
      </w:r>
    </w:p>
    <w:p w14:paraId="332E8B8D">
      <w:pPr>
        <w:numPr>
          <w:ilvl w:val="1"/>
          <w:numId w:val="28"/>
        </w:numPr>
        <w:overflowPunct w:val="0"/>
        <w:rPr>
          <w:rFonts w:ascii="宋体" w:hAnsi="宋体" w:cs="宋体"/>
          <w:szCs w:val="21"/>
        </w:rPr>
      </w:pPr>
      <w:r>
        <w:rPr>
          <w:rFonts w:hint="eastAsia" w:ascii="宋体" w:hAnsi="宋体" w:cs="宋体"/>
          <w:szCs w:val="21"/>
        </w:rPr>
        <w:t>焊接过程中不得有明显的振动；</w:t>
      </w:r>
    </w:p>
    <w:p w14:paraId="0FC7ADB5">
      <w:pPr>
        <w:numPr>
          <w:ilvl w:val="1"/>
          <w:numId w:val="28"/>
        </w:numPr>
        <w:overflowPunct w:val="0"/>
        <w:rPr>
          <w:rFonts w:ascii="宋体" w:hAnsi="宋体" w:cs="宋体"/>
          <w:szCs w:val="21"/>
        </w:rPr>
      </w:pPr>
      <w:r>
        <w:rPr>
          <w:rFonts w:hint="eastAsia" w:ascii="宋体" w:hAnsi="宋体" w:cs="宋体"/>
          <w:szCs w:val="21"/>
        </w:rPr>
        <w:t>电极、夹具安装、调整方便，应有良好的重复定位精度，配有调整、更换的电极、夹具工具；</w:t>
      </w:r>
    </w:p>
    <w:p w14:paraId="56F1E75E">
      <w:pPr>
        <w:numPr>
          <w:ilvl w:val="1"/>
          <w:numId w:val="28"/>
        </w:numPr>
        <w:overflowPunct w:val="0"/>
        <w:rPr>
          <w:rFonts w:ascii="宋体" w:hAnsi="宋体" w:cs="宋体"/>
          <w:szCs w:val="21"/>
        </w:rPr>
      </w:pPr>
      <w:r>
        <w:rPr>
          <w:rFonts w:hint="eastAsia" w:ascii="宋体" w:hAnsi="宋体" w:cs="宋体"/>
          <w:szCs w:val="21"/>
        </w:rPr>
        <w:t>设备元器件配置要求：</w:t>
      </w:r>
    </w:p>
    <w:tbl>
      <w:tblPr>
        <w:tblStyle w:val="44"/>
        <w:tblW w:w="0" w:type="auto"/>
        <w:jc w:val="right"/>
        <w:tblLayout w:type="fixed"/>
        <w:tblCellMar>
          <w:top w:w="0" w:type="dxa"/>
          <w:left w:w="0" w:type="dxa"/>
          <w:bottom w:w="0" w:type="dxa"/>
          <w:right w:w="0" w:type="dxa"/>
        </w:tblCellMar>
      </w:tblPr>
      <w:tblGrid>
        <w:gridCol w:w="695"/>
        <w:gridCol w:w="2344"/>
        <w:gridCol w:w="2259"/>
        <w:gridCol w:w="3577"/>
      </w:tblGrid>
      <w:tr w14:paraId="4258E233">
        <w:tblPrEx>
          <w:tblCellMar>
            <w:top w:w="0" w:type="dxa"/>
            <w:left w:w="0" w:type="dxa"/>
            <w:bottom w:w="0" w:type="dxa"/>
            <w:right w:w="0" w:type="dxa"/>
          </w:tblCellMar>
        </w:tblPrEx>
        <w:trPr>
          <w:trHeight w:val="764" w:hRule="exact"/>
          <w:jc w:val="right"/>
        </w:trPr>
        <w:tc>
          <w:tcPr>
            <w:tcW w:w="695" w:type="dxa"/>
            <w:tcBorders>
              <w:top w:val="single" w:color="000000" w:sz="4" w:space="0"/>
              <w:left w:val="single" w:color="000000" w:sz="4" w:space="0"/>
              <w:bottom w:val="single" w:color="000000" w:sz="4" w:space="0"/>
              <w:right w:val="single" w:color="000000" w:sz="4" w:space="0"/>
            </w:tcBorders>
            <w:noWrap/>
            <w:vAlign w:val="center"/>
          </w:tcPr>
          <w:p w14:paraId="41ECB809">
            <w:pPr>
              <w:widowControl/>
              <w:ind w:left="105" w:leftChars="50" w:right="105" w:rightChars="50"/>
              <w:jc w:val="center"/>
              <w:rPr>
                <w:rFonts w:ascii="宋体" w:hAnsi="宋体" w:cs="宋体"/>
                <w:bCs/>
                <w:sz w:val="18"/>
                <w:szCs w:val="18"/>
              </w:rPr>
            </w:pPr>
            <w:r>
              <w:rPr>
                <w:rFonts w:hint="eastAsia" w:ascii="宋体" w:hAnsi="宋体" w:cs="宋体"/>
                <w:bCs/>
                <w:sz w:val="18"/>
                <w:szCs w:val="18"/>
              </w:rPr>
              <w:t>序号</w:t>
            </w:r>
          </w:p>
        </w:tc>
        <w:tc>
          <w:tcPr>
            <w:tcW w:w="2344" w:type="dxa"/>
            <w:tcBorders>
              <w:top w:val="single" w:color="000000" w:sz="4" w:space="0"/>
              <w:left w:val="single" w:color="000000" w:sz="4" w:space="0"/>
              <w:bottom w:val="single" w:color="000000" w:sz="4" w:space="0"/>
              <w:right w:val="single" w:color="000000" w:sz="4" w:space="0"/>
            </w:tcBorders>
            <w:noWrap/>
            <w:vAlign w:val="center"/>
          </w:tcPr>
          <w:p w14:paraId="1B118655">
            <w:pPr>
              <w:widowControl/>
              <w:ind w:left="105" w:leftChars="50" w:right="105" w:rightChars="50"/>
              <w:jc w:val="center"/>
              <w:rPr>
                <w:rFonts w:ascii="宋体" w:hAnsi="宋体" w:cs="宋体"/>
                <w:bCs/>
                <w:sz w:val="18"/>
                <w:szCs w:val="18"/>
              </w:rPr>
            </w:pPr>
            <w:r>
              <w:rPr>
                <w:rFonts w:hint="eastAsia" w:ascii="宋体" w:hAnsi="宋体" w:cs="宋体"/>
                <w:bCs/>
                <w:sz w:val="18"/>
                <w:szCs w:val="18"/>
              </w:rPr>
              <w:t>名称</w:t>
            </w:r>
          </w:p>
        </w:tc>
        <w:tc>
          <w:tcPr>
            <w:tcW w:w="2259" w:type="dxa"/>
            <w:tcBorders>
              <w:top w:val="single" w:color="000000" w:sz="4" w:space="0"/>
              <w:left w:val="single" w:color="000000" w:sz="4" w:space="0"/>
              <w:bottom w:val="single" w:color="000000" w:sz="4" w:space="0"/>
              <w:right w:val="single" w:color="000000" w:sz="4" w:space="0"/>
            </w:tcBorders>
            <w:noWrap/>
            <w:vAlign w:val="center"/>
          </w:tcPr>
          <w:p w14:paraId="54F84E29">
            <w:pPr>
              <w:widowControl/>
              <w:ind w:left="105" w:leftChars="50" w:right="105" w:rightChars="50"/>
              <w:jc w:val="center"/>
              <w:rPr>
                <w:rFonts w:ascii="宋体" w:hAnsi="宋体" w:cs="宋体"/>
                <w:bCs/>
                <w:sz w:val="18"/>
                <w:szCs w:val="18"/>
              </w:rPr>
            </w:pPr>
            <w:r>
              <w:rPr>
                <w:rFonts w:hint="eastAsia" w:ascii="宋体" w:hAnsi="宋体" w:cs="宋体"/>
                <w:bCs/>
                <w:sz w:val="18"/>
                <w:szCs w:val="18"/>
              </w:rPr>
              <w:t>品牌型号</w:t>
            </w:r>
          </w:p>
        </w:tc>
        <w:tc>
          <w:tcPr>
            <w:tcW w:w="3577" w:type="dxa"/>
            <w:tcBorders>
              <w:top w:val="single" w:color="000000" w:sz="4" w:space="0"/>
              <w:left w:val="single" w:color="000000" w:sz="4" w:space="0"/>
              <w:bottom w:val="single" w:color="000000" w:sz="4" w:space="0"/>
              <w:right w:val="single" w:color="000000" w:sz="4" w:space="0"/>
            </w:tcBorders>
            <w:noWrap/>
            <w:vAlign w:val="center"/>
          </w:tcPr>
          <w:p w14:paraId="2EB656CE">
            <w:pPr>
              <w:widowControl/>
              <w:ind w:left="105" w:leftChars="50" w:right="105" w:rightChars="50"/>
              <w:jc w:val="center"/>
              <w:rPr>
                <w:rFonts w:ascii="宋体" w:hAnsi="宋体" w:cs="宋体"/>
                <w:bCs/>
                <w:sz w:val="18"/>
                <w:szCs w:val="18"/>
              </w:rPr>
            </w:pPr>
            <w:r>
              <w:rPr>
                <w:rFonts w:hint="eastAsia" w:ascii="宋体" w:hAnsi="宋体" w:cs="宋体"/>
                <w:bCs/>
                <w:sz w:val="18"/>
                <w:szCs w:val="18"/>
              </w:rPr>
              <w:t>备注</w:t>
            </w:r>
          </w:p>
        </w:tc>
      </w:tr>
      <w:tr w14:paraId="3341D8F5">
        <w:tblPrEx>
          <w:tblCellMar>
            <w:top w:w="0" w:type="dxa"/>
            <w:left w:w="0" w:type="dxa"/>
            <w:bottom w:w="0" w:type="dxa"/>
            <w:right w:w="0" w:type="dxa"/>
          </w:tblCellMar>
        </w:tblPrEx>
        <w:trPr>
          <w:trHeight w:val="397" w:hRule="exact"/>
          <w:jc w:val="right"/>
        </w:trPr>
        <w:tc>
          <w:tcPr>
            <w:tcW w:w="695" w:type="dxa"/>
            <w:tcBorders>
              <w:top w:val="single" w:color="000000" w:sz="4" w:space="0"/>
              <w:left w:val="single" w:color="000000" w:sz="4" w:space="0"/>
              <w:bottom w:val="single" w:color="000000" w:sz="4" w:space="0"/>
              <w:right w:val="single" w:color="000000" w:sz="4" w:space="0"/>
            </w:tcBorders>
            <w:noWrap/>
            <w:vAlign w:val="center"/>
          </w:tcPr>
          <w:p w14:paraId="094C10E9">
            <w:pPr>
              <w:widowControl/>
              <w:jc w:val="center"/>
              <w:rPr>
                <w:rFonts w:ascii="宋体" w:hAnsi="宋体" w:cs="宋体"/>
                <w:bCs/>
                <w:sz w:val="18"/>
                <w:szCs w:val="18"/>
              </w:rPr>
            </w:pPr>
            <w:r>
              <w:rPr>
                <w:rFonts w:hint="eastAsia" w:ascii="宋体" w:hAnsi="宋体" w:cs="宋体"/>
                <w:bCs/>
                <w:sz w:val="18"/>
                <w:szCs w:val="18"/>
              </w:rPr>
              <w:t>1</w:t>
            </w:r>
          </w:p>
        </w:tc>
        <w:tc>
          <w:tcPr>
            <w:tcW w:w="2344" w:type="dxa"/>
            <w:tcBorders>
              <w:top w:val="single" w:color="000000" w:sz="4" w:space="0"/>
              <w:left w:val="single" w:color="000000" w:sz="4" w:space="0"/>
              <w:bottom w:val="single" w:color="000000" w:sz="4" w:space="0"/>
              <w:right w:val="single" w:color="000000" w:sz="4" w:space="0"/>
            </w:tcBorders>
            <w:noWrap/>
            <w:vAlign w:val="center"/>
          </w:tcPr>
          <w:p w14:paraId="4D6A6FC5">
            <w:pPr>
              <w:widowControl/>
              <w:ind w:left="105" w:leftChars="50" w:right="105" w:rightChars="50"/>
              <w:jc w:val="center"/>
              <w:rPr>
                <w:rFonts w:ascii="宋体" w:hAnsi="宋体" w:cs="宋体"/>
                <w:bCs/>
                <w:sz w:val="18"/>
                <w:szCs w:val="18"/>
              </w:rPr>
            </w:pPr>
            <w:r>
              <w:rPr>
                <w:rFonts w:hint="eastAsia" w:ascii="宋体" w:hAnsi="宋体" w:cs="宋体"/>
                <w:bCs/>
                <w:sz w:val="18"/>
                <w:szCs w:val="18"/>
              </w:rPr>
              <w:t>所有气动组件、电磁阀</w:t>
            </w:r>
          </w:p>
        </w:tc>
        <w:tc>
          <w:tcPr>
            <w:tcW w:w="2259" w:type="dxa"/>
            <w:tcBorders>
              <w:top w:val="single" w:color="000000" w:sz="4" w:space="0"/>
              <w:left w:val="single" w:color="000000" w:sz="4" w:space="0"/>
              <w:bottom w:val="single" w:color="000000" w:sz="4" w:space="0"/>
              <w:right w:val="single" w:color="000000" w:sz="4" w:space="0"/>
            </w:tcBorders>
            <w:noWrap/>
            <w:vAlign w:val="center"/>
          </w:tcPr>
          <w:p w14:paraId="0C6528B8">
            <w:pPr>
              <w:widowControl/>
              <w:ind w:left="105" w:leftChars="50" w:right="105" w:rightChars="50"/>
              <w:jc w:val="center"/>
              <w:rPr>
                <w:rFonts w:ascii="宋体" w:hAnsi="宋体" w:cs="宋体"/>
                <w:bCs/>
                <w:sz w:val="18"/>
                <w:szCs w:val="18"/>
              </w:rPr>
            </w:pPr>
            <w:r>
              <w:rPr>
                <w:rFonts w:hint="eastAsia" w:ascii="宋体" w:hAnsi="宋体" w:cs="宋体"/>
                <w:bCs/>
                <w:sz w:val="18"/>
                <w:szCs w:val="18"/>
              </w:rPr>
              <w:t>FESTO/SMC</w:t>
            </w:r>
          </w:p>
        </w:tc>
        <w:tc>
          <w:tcPr>
            <w:tcW w:w="3577" w:type="dxa"/>
            <w:tcBorders>
              <w:top w:val="single" w:color="000000" w:sz="4" w:space="0"/>
              <w:left w:val="single" w:color="000000" w:sz="4" w:space="0"/>
              <w:bottom w:val="single" w:color="000000" w:sz="4" w:space="0"/>
              <w:right w:val="single" w:color="000000" w:sz="4" w:space="0"/>
            </w:tcBorders>
            <w:noWrap/>
            <w:vAlign w:val="center"/>
          </w:tcPr>
          <w:p w14:paraId="02E9339C">
            <w:pPr>
              <w:widowControl/>
              <w:ind w:left="105" w:leftChars="50" w:right="105" w:rightChars="50"/>
              <w:jc w:val="center"/>
              <w:rPr>
                <w:rFonts w:ascii="宋体" w:hAnsi="宋体" w:cs="宋体"/>
                <w:bCs/>
                <w:sz w:val="18"/>
                <w:szCs w:val="18"/>
              </w:rPr>
            </w:pPr>
          </w:p>
        </w:tc>
      </w:tr>
      <w:tr w14:paraId="5B69BD1C">
        <w:tblPrEx>
          <w:tblCellMar>
            <w:top w:w="0" w:type="dxa"/>
            <w:left w:w="0" w:type="dxa"/>
            <w:bottom w:w="0" w:type="dxa"/>
            <w:right w:w="0" w:type="dxa"/>
          </w:tblCellMar>
        </w:tblPrEx>
        <w:trPr>
          <w:trHeight w:val="397" w:hRule="exact"/>
          <w:jc w:val="right"/>
        </w:trPr>
        <w:tc>
          <w:tcPr>
            <w:tcW w:w="695" w:type="dxa"/>
            <w:tcBorders>
              <w:top w:val="single" w:color="000000" w:sz="4" w:space="0"/>
              <w:left w:val="single" w:color="000000" w:sz="4" w:space="0"/>
              <w:bottom w:val="single" w:color="000000" w:sz="4" w:space="0"/>
              <w:right w:val="single" w:color="000000" w:sz="4" w:space="0"/>
            </w:tcBorders>
            <w:noWrap/>
            <w:vAlign w:val="center"/>
          </w:tcPr>
          <w:p w14:paraId="7A55B826">
            <w:pPr>
              <w:widowControl/>
              <w:jc w:val="center"/>
              <w:rPr>
                <w:rFonts w:ascii="宋体" w:hAnsi="宋体" w:cs="宋体"/>
                <w:bCs/>
                <w:sz w:val="18"/>
                <w:szCs w:val="18"/>
              </w:rPr>
            </w:pPr>
            <w:r>
              <w:rPr>
                <w:rFonts w:hint="eastAsia" w:ascii="宋体" w:hAnsi="宋体" w:cs="宋体"/>
                <w:bCs/>
                <w:sz w:val="18"/>
                <w:szCs w:val="18"/>
              </w:rPr>
              <w:t>2</w:t>
            </w:r>
          </w:p>
        </w:tc>
        <w:tc>
          <w:tcPr>
            <w:tcW w:w="2344" w:type="dxa"/>
            <w:tcBorders>
              <w:top w:val="single" w:color="000000" w:sz="4" w:space="0"/>
              <w:left w:val="single" w:color="000000" w:sz="4" w:space="0"/>
              <w:bottom w:val="single" w:color="000000" w:sz="4" w:space="0"/>
              <w:right w:val="single" w:color="000000" w:sz="4" w:space="0"/>
            </w:tcBorders>
            <w:noWrap/>
            <w:vAlign w:val="center"/>
          </w:tcPr>
          <w:p w14:paraId="298C598A">
            <w:pPr>
              <w:widowControl/>
              <w:ind w:left="105" w:leftChars="50" w:right="105" w:rightChars="50"/>
              <w:jc w:val="center"/>
              <w:rPr>
                <w:rFonts w:ascii="宋体" w:hAnsi="宋体" w:cs="宋体"/>
                <w:bCs/>
                <w:sz w:val="18"/>
                <w:szCs w:val="18"/>
              </w:rPr>
            </w:pPr>
            <w:r>
              <w:rPr>
                <w:rFonts w:hint="eastAsia" w:ascii="宋体" w:hAnsi="宋体" w:cs="宋体"/>
                <w:bCs/>
                <w:sz w:val="18"/>
                <w:szCs w:val="18"/>
              </w:rPr>
              <w:t>PLC</w:t>
            </w:r>
          </w:p>
        </w:tc>
        <w:tc>
          <w:tcPr>
            <w:tcW w:w="2259" w:type="dxa"/>
            <w:tcBorders>
              <w:top w:val="single" w:color="000000" w:sz="4" w:space="0"/>
              <w:left w:val="single" w:color="000000" w:sz="4" w:space="0"/>
              <w:bottom w:val="single" w:color="000000" w:sz="4" w:space="0"/>
              <w:right w:val="single" w:color="000000" w:sz="4" w:space="0"/>
            </w:tcBorders>
            <w:noWrap/>
            <w:vAlign w:val="center"/>
          </w:tcPr>
          <w:p w14:paraId="7B75A0C6">
            <w:pPr>
              <w:widowControl/>
              <w:ind w:left="105" w:leftChars="50" w:right="105" w:rightChars="50"/>
              <w:jc w:val="center"/>
              <w:rPr>
                <w:rFonts w:ascii="宋体" w:hAnsi="宋体" w:cs="宋体"/>
                <w:bCs/>
                <w:sz w:val="18"/>
                <w:szCs w:val="18"/>
              </w:rPr>
            </w:pPr>
            <w:r>
              <w:rPr>
                <w:rFonts w:hint="eastAsia" w:ascii="宋体" w:hAnsi="宋体" w:cs="宋体"/>
                <w:bCs/>
                <w:sz w:val="18"/>
                <w:szCs w:val="18"/>
              </w:rPr>
              <w:t>三菱/西门子</w:t>
            </w:r>
          </w:p>
        </w:tc>
        <w:tc>
          <w:tcPr>
            <w:tcW w:w="3577" w:type="dxa"/>
            <w:tcBorders>
              <w:top w:val="single" w:color="000000" w:sz="4" w:space="0"/>
              <w:left w:val="single" w:color="000000" w:sz="4" w:space="0"/>
              <w:bottom w:val="single" w:color="auto" w:sz="4" w:space="0"/>
              <w:right w:val="single" w:color="000000" w:sz="4" w:space="0"/>
            </w:tcBorders>
            <w:noWrap/>
            <w:vAlign w:val="center"/>
          </w:tcPr>
          <w:p w14:paraId="1E420E08">
            <w:pPr>
              <w:widowControl/>
              <w:ind w:left="105" w:leftChars="50" w:right="105" w:rightChars="50"/>
              <w:jc w:val="center"/>
              <w:rPr>
                <w:rFonts w:ascii="宋体" w:hAnsi="宋体" w:cs="宋体"/>
                <w:bCs/>
                <w:sz w:val="18"/>
                <w:szCs w:val="18"/>
              </w:rPr>
            </w:pPr>
            <w:r>
              <w:rPr>
                <w:rFonts w:hint="eastAsia" w:ascii="宋体" w:hAnsi="宋体" w:cs="宋体"/>
                <w:bCs/>
                <w:sz w:val="18"/>
                <w:szCs w:val="18"/>
              </w:rPr>
              <w:t>铜管、接线柱采用西门子</w:t>
            </w:r>
          </w:p>
        </w:tc>
      </w:tr>
      <w:tr w14:paraId="3E3D4262">
        <w:tblPrEx>
          <w:tblCellMar>
            <w:top w:w="0" w:type="dxa"/>
            <w:left w:w="0" w:type="dxa"/>
            <w:bottom w:w="0" w:type="dxa"/>
            <w:right w:w="0" w:type="dxa"/>
          </w:tblCellMar>
        </w:tblPrEx>
        <w:trPr>
          <w:trHeight w:val="375" w:hRule="exact"/>
          <w:jc w:val="right"/>
        </w:trPr>
        <w:tc>
          <w:tcPr>
            <w:tcW w:w="695" w:type="dxa"/>
            <w:tcBorders>
              <w:top w:val="single" w:color="000000" w:sz="4" w:space="0"/>
              <w:left w:val="single" w:color="000000" w:sz="4" w:space="0"/>
              <w:bottom w:val="single" w:color="000000" w:sz="4" w:space="0"/>
              <w:right w:val="single" w:color="000000" w:sz="4" w:space="0"/>
            </w:tcBorders>
            <w:noWrap/>
            <w:vAlign w:val="center"/>
          </w:tcPr>
          <w:p w14:paraId="4EFE284E">
            <w:pPr>
              <w:widowControl/>
              <w:jc w:val="center"/>
              <w:rPr>
                <w:rFonts w:ascii="宋体" w:hAnsi="宋体" w:cs="宋体"/>
                <w:bCs/>
                <w:sz w:val="18"/>
                <w:szCs w:val="18"/>
              </w:rPr>
            </w:pPr>
            <w:r>
              <w:rPr>
                <w:rFonts w:hint="eastAsia" w:ascii="宋体" w:hAnsi="宋体" w:cs="宋体"/>
                <w:bCs/>
                <w:sz w:val="18"/>
                <w:szCs w:val="18"/>
              </w:rPr>
              <w:t>3</w:t>
            </w:r>
          </w:p>
        </w:tc>
        <w:tc>
          <w:tcPr>
            <w:tcW w:w="2344" w:type="dxa"/>
            <w:tcBorders>
              <w:top w:val="single" w:color="000000" w:sz="4" w:space="0"/>
              <w:left w:val="single" w:color="000000" w:sz="4" w:space="0"/>
              <w:bottom w:val="single" w:color="000000" w:sz="4" w:space="0"/>
              <w:right w:val="single" w:color="000000" w:sz="4" w:space="0"/>
            </w:tcBorders>
            <w:noWrap/>
            <w:vAlign w:val="center"/>
          </w:tcPr>
          <w:p w14:paraId="11549EB0">
            <w:pPr>
              <w:widowControl/>
              <w:ind w:left="105" w:leftChars="50" w:right="105" w:rightChars="50"/>
              <w:jc w:val="center"/>
              <w:rPr>
                <w:rFonts w:ascii="宋体" w:hAnsi="宋体" w:cs="宋体"/>
                <w:bCs/>
                <w:sz w:val="18"/>
                <w:szCs w:val="18"/>
              </w:rPr>
            </w:pPr>
            <w:r>
              <w:rPr>
                <w:rFonts w:hint="eastAsia" w:ascii="宋体" w:hAnsi="宋体" w:cs="宋体"/>
                <w:bCs/>
                <w:sz w:val="18"/>
                <w:szCs w:val="18"/>
              </w:rPr>
              <w:t>减速机</w:t>
            </w:r>
          </w:p>
        </w:tc>
        <w:tc>
          <w:tcPr>
            <w:tcW w:w="2259" w:type="dxa"/>
            <w:tcBorders>
              <w:top w:val="single" w:color="000000" w:sz="4" w:space="0"/>
              <w:left w:val="single" w:color="000000" w:sz="4" w:space="0"/>
              <w:bottom w:val="single" w:color="000000" w:sz="4" w:space="0"/>
              <w:right w:val="single" w:color="000000" w:sz="4" w:space="0"/>
            </w:tcBorders>
            <w:noWrap/>
            <w:vAlign w:val="center"/>
          </w:tcPr>
          <w:p w14:paraId="5BA446F3">
            <w:pPr>
              <w:widowControl/>
              <w:ind w:left="105" w:leftChars="50" w:right="105" w:rightChars="50"/>
              <w:jc w:val="center"/>
              <w:rPr>
                <w:rFonts w:ascii="宋体" w:hAnsi="宋体" w:cs="宋体"/>
                <w:bCs/>
                <w:sz w:val="18"/>
                <w:szCs w:val="18"/>
              </w:rPr>
            </w:pPr>
            <w:r>
              <w:rPr>
                <w:rFonts w:hint="eastAsia" w:ascii="宋体" w:hAnsi="宋体" w:cs="宋体"/>
                <w:bCs/>
                <w:sz w:val="18"/>
                <w:szCs w:val="18"/>
              </w:rPr>
              <w:t>SEW或相当品牌</w:t>
            </w:r>
          </w:p>
        </w:tc>
        <w:tc>
          <w:tcPr>
            <w:tcW w:w="3577" w:type="dxa"/>
            <w:tcBorders>
              <w:top w:val="single" w:color="auto" w:sz="4" w:space="0"/>
              <w:left w:val="single" w:color="000000" w:sz="4" w:space="0"/>
              <w:right w:val="single" w:color="000000" w:sz="4" w:space="0"/>
            </w:tcBorders>
            <w:noWrap/>
            <w:vAlign w:val="center"/>
          </w:tcPr>
          <w:p w14:paraId="434E7139">
            <w:pPr>
              <w:widowControl/>
              <w:ind w:left="105" w:leftChars="50" w:right="105" w:rightChars="50"/>
              <w:jc w:val="center"/>
              <w:rPr>
                <w:rFonts w:ascii="宋体" w:hAnsi="宋体" w:cs="宋体"/>
                <w:bCs/>
                <w:sz w:val="18"/>
                <w:szCs w:val="18"/>
              </w:rPr>
            </w:pPr>
          </w:p>
        </w:tc>
      </w:tr>
      <w:tr w14:paraId="6732EF88">
        <w:tblPrEx>
          <w:tblCellMar>
            <w:top w:w="0" w:type="dxa"/>
            <w:left w:w="0" w:type="dxa"/>
            <w:bottom w:w="0" w:type="dxa"/>
            <w:right w:w="0" w:type="dxa"/>
          </w:tblCellMar>
        </w:tblPrEx>
        <w:trPr>
          <w:trHeight w:val="315" w:hRule="exact"/>
          <w:jc w:val="right"/>
        </w:trPr>
        <w:tc>
          <w:tcPr>
            <w:tcW w:w="695" w:type="dxa"/>
            <w:tcBorders>
              <w:top w:val="single" w:color="000000" w:sz="4" w:space="0"/>
              <w:left w:val="single" w:color="000000" w:sz="4" w:space="0"/>
              <w:bottom w:val="single" w:color="000000" w:sz="4" w:space="0"/>
              <w:right w:val="single" w:color="000000" w:sz="4" w:space="0"/>
            </w:tcBorders>
            <w:noWrap/>
            <w:vAlign w:val="center"/>
          </w:tcPr>
          <w:p w14:paraId="2ABB5463">
            <w:pPr>
              <w:widowControl/>
              <w:jc w:val="center"/>
              <w:rPr>
                <w:rFonts w:ascii="宋体" w:hAnsi="宋体" w:cs="宋体"/>
                <w:bCs/>
                <w:sz w:val="18"/>
                <w:szCs w:val="18"/>
              </w:rPr>
            </w:pPr>
            <w:r>
              <w:rPr>
                <w:rFonts w:hint="eastAsia" w:ascii="宋体" w:hAnsi="宋体" w:cs="宋体"/>
                <w:bCs/>
                <w:sz w:val="18"/>
                <w:szCs w:val="18"/>
              </w:rPr>
              <w:t>4</w:t>
            </w:r>
          </w:p>
        </w:tc>
        <w:tc>
          <w:tcPr>
            <w:tcW w:w="2344" w:type="dxa"/>
            <w:tcBorders>
              <w:top w:val="single" w:color="000000" w:sz="4" w:space="0"/>
              <w:left w:val="single" w:color="000000" w:sz="4" w:space="0"/>
              <w:bottom w:val="single" w:color="000000" w:sz="4" w:space="0"/>
              <w:right w:val="single" w:color="000000" w:sz="4" w:space="0"/>
            </w:tcBorders>
            <w:noWrap/>
            <w:vAlign w:val="center"/>
          </w:tcPr>
          <w:p w14:paraId="07D257D3">
            <w:pPr>
              <w:widowControl/>
              <w:ind w:left="105" w:leftChars="50" w:right="105" w:rightChars="50"/>
              <w:jc w:val="center"/>
              <w:rPr>
                <w:rFonts w:ascii="宋体" w:hAnsi="宋体" w:cs="宋体"/>
                <w:bCs/>
                <w:sz w:val="18"/>
                <w:szCs w:val="18"/>
              </w:rPr>
            </w:pPr>
            <w:r>
              <w:rPr>
                <w:rFonts w:hint="eastAsia" w:ascii="宋体" w:hAnsi="宋体" w:cs="宋体"/>
                <w:bCs/>
                <w:sz w:val="18"/>
                <w:szCs w:val="18"/>
              </w:rPr>
              <w:t>安全光幕</w:t>
            </w:r>
          </w:p>
        </w:tc>
        <w:tc>
          <w:tcPr>
            <w:tcW w:w="2259" w:type="dxa"/>
            <w:tcBorders>
              <w:top w:val="single" w:color="000000" w:sz="4" w:space="0"/>
              <w:left w:val="single" w:color="000000" w:sz="4" w:space="0"/>
              <w:bottom w:val="single" w:color="000000" w:sz="4" w:space="0"/>
              <w:right w:val="single" w:color="000000" w:sz="4" w:space="0"/>
            </w:tcBorders>
            <w:noWrap/>
            <w:vAlign w:val="center"/>
          </w:tcPr>
          <w:p w14:paraId="2B424048">
            <w:pPr>
              <w:widowControl/>
              <w:ind w:left="105" w:leftChars="50" w:right="105" w:rightChars="50"/>
              <w:jc w:val="center"/>
              <w:rPr>
                <w:rFonts w:ascii="宋体" w:hAnsi="宋体" w:cs="宋体"/>
                <w:bCs/>
                <w:sz w:val="18"/>
                <w:szCs w:val="18"/>
              </w:rPr>
            </w:pPr>
            <w:r>
              <w:rPr>
                <w:rFonts w:hint="eastAsia" w:ascii="宋体" w:hAnsi="宋体" w:cs="宋体"/>
                <w:bCs/>
                <w:sz w:val="18"/>
                <w:szCs w:val="18"/>
              </w:rPr>
              <w:t>基恩士/邦纳/巴鲁夫</w:t>
            </w:r>
          </w:p>
        </w:tc>
        <w:tc>
          <w:tcPr>
            <w:tcW w:w="3577" w:type="dxa"/>
            <w:tcBorders>
              <w:left w:val="single" w:color="000000" w:sz="4" w:space="0"/>
              <w:right w:val="single" w:color="000000" w:sz="4" w:space="0"/>
            </w:tcBorders>
            <w:noWrap/>
            <w:vAlign w:val="center"/>
          </w:tcPr>
          <w:p w14:paraId="70D6E531">
            <w:pPr>
              <w:widowControl/>
              <w:ind w:left="105" w:leftChars="50" w:right="105" w:rightChars="50"/>
              <w:jc w:val="center"/>
              <w:rPr>
                <w:rFonts w:ascii="宋体" w:hAnsi="宋体" w:cs="宋体"/>
                <w:bCs/>
                <w:sz w:val="18"/>
                <w:szCs w:val="18"/>
              </w:rPr>
            </w:pPr>
            <w:r>
              <w:rPr>
                <w:rFonts w:hint="eastAsia" w:ascii="宋体" w:hAnsi="宋体" w:cs="宋体"/>
                <w:bCs/>
                <w:sz w:val="18"/>
                <w:szCs w:val="18"/>
              </w:rPr>
              <w:t>优选自带焊渣防护的基恩士</w:t>
            </w:r>
          </w:p>
        </w:tc>
      </w:tr>
      <w:tr w14:paraId="74D33A70">
        <w:tblPrEx>
          <w:tblCellMar>
            <w:top w:w="0" w:type="dxa"/>
            <w:left w:w="0" w:type="dxa"/>
            <w:bottom w:w="0" w:type="dxa"/>
            <w:right w:w="0" w:type="dxa"/>
          </w:tblCellMar>
        </w:tblPrEx>
        <w:trPr>
          <w:trHeight w:val="397" w:hRule="exact"/>
          <w:jc w:val="right"/>
        </w:trPr>
        <w:tc>
          <w:tcPr>
            <w:tcW w:w="695" w:type="dxa"/>
            <w:tcBorders>
              <w:top w:val="single" w:color="000000" w:sz="4" w:space="0"/>
              <w:left w:val="single" w:color="000000" w:sz="4" w:space="0"/>
              <w:bottom w:val="single" w:color="000000" w:sz="4" w:space="0"/>
              <w:right w:val="single" w:color="000000" w:sz="4" w:space="0"/>
            </w:tcBorders>
            <w:noWrap/>
            <w:vAlign w:val="center"/>
          </w:tcPr>
          <w:p w14:paraId="75BB9F87">
            <w:pPr>
              <w:widowControl/>
              <w:jc w:val="center"/>
              <w:rPr>
                <w:rFonts w:ascii="宋体" w:hAnsi="宋体" w:cs="宋体"/>
                <w:bCs/>
                <w:sz w:val="18"/>
                <w:szCs w:val="18"/>
              </w:rPr>
            </w:pPr>
            <w:r>
              <w:rPr>
                <w:rFonts w:hint="eastAsia" w:ascii="宋体" w:hAnsi="宋体" w:cs="宋体"/>
                <w:bCs/>
                <w:sz w:val="18"/>
                <w:szCs w:val="18"/>
              </w:rPr>
              <w:t>5</w:t>
            </w:r>
          </w:p>
        </w:tc>
        <w:tc>
          <w:tcPr>
            <w:tcW w:w="2344" w:type="dxa"/>
            <w:tcBorders>
              <w:top w:val="single" w:color="000000" w:sz="4" w:space="0"/>
              <w:left w:val="single" w:color="000000" w:sz="4" w:space="0"/>
              <w:bottom w:val="single" w:color="000000" w:sz="4" w:space="0"/>
              <w:right w:val="single" w:color="000000" w:sz="4" w:space="0"/>
            </w:tcBorders>
            <w:noWrap/>
            <w:vAlign w:val="center"/>
          </w:tcPr>
          <w:p w14:paraId="7B80633B">
            <w:pPr>
              <w:widowControl/>
              <w:ind w:left="105" w:leftChars="50" w:right="105" w:rightChars="50"/>
              <w:jc w:val="center"/>
              <w:rPr>
                <w:rFonts w:ascii="宋体" w:hAnsi="宋体" w:cs="宋体"/>
                <w:bCs/>
                <w:sz w:val="18"/>
                <w:szCs w:val="18"/>
              </w:rPr>
            </w:pPr>
            <w:r>
              <w:rPr>
                <w:rFonts w:hint="eastAsia" w:ascii="宋体" w:hAnsi="宋体" w:cs="宋体"/>
                <w:bCs/>
                <w:sz w:val="18"/>
                <w:szCs w:val="18"/>
              </w:rPr>
              <w:t>开关电源</w:t>
            </w:r>
          </w:p>
        </w:tc>
        <w:tc>
          <w:tcPr>
            <w:tcW w:w="2259" w:type="dxa"/>
            <w:tcBorders>
              <w:top w:val="single" w:color="000000" w:sz="4" w:space="0"/>
              <w:left w:val="single" w:color="000000" w:sz="4" w:space="0"/>
              <w:bottom w:val="single" w:color="000000" w:sz="4" w:space="0"/>
              <w:right w:val="single" w:color="000000" w:sz="4" w:space="0"/>
            </w:tcBorders>
            <w:noWrap/>
            <w:vAlign w:val="center"/>
          </w:tcPr>
          <w:p w14:paraId="7A5DD950">
            <w:pPr>
              <w:widowControl/>
              <w:ind w:left="105" w:leftChars="50" w:right="105" w:rightChars="50"/>
              <w:jc w:val="center"/>
              <w:rPr>
                <w:rFonts w:ascii="宋体" w:hAnsi="宋体" w:cs="宋体"/>
                <w:bCs/>
                <w:sz w:val="18"/>
                <w:szCs w:val="18"/>
              </w:rPr>
            </w:pPr>
            <w:r>
              <w:rPr>
                <w:rFonts w:hint="eastAsia" w:ascii="宋体" w:hAnsi="宋体" w:cs="宋体"/>
                <w:bCs/>
                <w:sz w:val="18"/>
                <w:szCs w:val="18"/>
              </w:rPr>
              <w:t>明纬/西门子</w:t>
            </w:r>
          </w:p>
        </w:tc>
        <w:tc>
          <w:tcPr>
            <w:tcW w:w="3577" w:type="dxa"/>
            <w:tcBorders>
              <w:top w:val="single" w:color="000000" w:sz="4" w:space="0"/>
              <w:left w:val="single" w:color="000000" w:sz="4" w:space="0"/>
              <w:bottom w:val="single" w:color="000000" w:sz="4" w:space="0"/>
              <w:right w:val="single" w:color="000000" w:sz="4" w:space="0"/>
            </w:tcBorders>
            <w:noWrap/>
            <w:vAlign w:val="center"/>
          </w:tcPr>
          <w:p w14:paraId="4BEC56CF">
            <w:pPr>
              <w:widowControl/>
              <w:ind w:left="105" w:leftChars="50" w:right="105" w:rightChars="50"/>
              <w:jc w:val="center"/>
              <w:rPr>
                <w:rFonts w:ascii="宋体" w:hAnsi="宋体" w:cs="宋体"/>
                <w:bCs/>
                <w:sz w:val="18"/>
                <w:szCs w:val="18"/>
              </w:rPr>
            </w:pPr>
          </w:p>
        </w:tc>
      </w:tr>
      <w:tr w14:paraId="5A05400A">
        <w:tblPrEx>
          <w:tblCellMar>
            <w:top w:w="0" w:type="dxa"/>
            <w:left w:w="0" w:type="dxa"/>
            <w:bottom w:w="0" w:type="dxa"/>
            <w:right w:w="0" w:type="dxa"/>
          </w:tblCellMar>
        </w:tblPrEx>
        <w:trPr>
          <w:trHeight w:val="397" w:hRule="exact"/>
          <w:jc w:val="right"/>
        </w:trPr>
        <w:tc>
          <w:tcPr>
            <w:tcW w:w="695" w:type="dxa"/>
            <w:tcBorders>
              <w:top w:val="single" w:color="000000" w:sz="4" w:space="0"/>
              <w:left w:val="single" w:color="000000" w:sz="4" w:space="0"/>
              <w:bottom w:val="single" w:color="000000" w:sz="4" w:space="0"/>
              <w:right w:val="single" w:color="000000" w:sz="4" w:space="0"/>
            </w:tcBorders>
            <w:noWrap/>
            <w:vAlign w:val="center"/>
          </w:tcPr>
          <w:p w14:paraId="1EBCE401">
            <w:pPr>
              <w:widowControl/>
              <w:jc w:val="center"/>
              <w:rPr>
                <w:rFonts w:ascii="宋体" w:hAnsi="宋体" w:cs="宋体"/>
                <w:bCs/>
                <w:sz w:val="18"/>
                <w:szCs w:val="18"/>
              </w:rPr>
            </w:pPr>
            <w:r>
              <w:rPr>
                <w:rFonts w:hint="eastAsia" w:ascii="宋体" w:hAnsi="宋体" w:cs="宋体"/>
                <w:bCs/>
                <w:sz w:val="18"/>
                <w:szCs w:val="18"/>
              </w:rPr>
              <w:t>6</w:t>
            </w:r>
          </w:p>
        </w:tc>
        <w:tc>
          <w:tcPr>
            <w:tcW w:w="2344" w:type="dxa"/>
            <w:tcBorders>
              <w:top w:val="single" w:color="000000" w:sz="4" w:space="0"/>
              <w:left w:val="single" w:color="000000" w:sz="4" w:space="0"/>
              <w:bottom w:val="single" w:color="000000" w:sz="4" w:space="0"/>
              <w:right w:val="single" w:color="000000" w:sz="4" w:space="0"/>
            </w:tcBorders>
            <w:noWrap/>
            <w:vAlign w:val="center"/>
          </w:tcPr>
          <w:p w14:paraId="5A3D5C68">
            <w:pPr>
              <w:widowControl/>
              <w:ind w:left="105" w:leftChars="50" w:right="105" w:rightChars="50"/>
              <w:jc w:val="center"/>
              <w:rPr>
                <w:rFonts w:ascii="宋体" w:hAnsi="宋体" w:cs="宋体"/>
                <w:bCs/>
                <w:sz w:val="18"/>
                <w:szCs w:val="18"/>
              </w:rPr>
            </w:pPr>
            <w:r>
              <w:rPr>
                <w:rFonts w:hint="eastAsia" w:ascii="宋体" w:hAnsi="宋体" w:cs="宋体"/>
                <w:bCs/>
                <w:sz w:val="18"/>
                <w:szCs w:val="18"/>
              </w:rPr>
              <w:t>小型继电器</w:t>
            </w:r>
          </w:p>
        </w:tc>
        <w:tc>
          <w:tcPr>
            <w:tcW w:w="2259" w:type="dxa"/>
            <w:tcBorders>
              <w:top w:val="single" w:color="000000" w:sz="4" w:space="0"/>
              <w:left w:val="single" w:color="000000" w:sz="4" w:space="0"/>
              <w:bottom w:val="single" w:color="000000" w:sz="4" w:space="0"/>
              <w:right w:val="single" w:color="000000" w:sz="4" w:space="0"/>
            </w:tcBorders>
            <w:noWrap/>
            <w:vAlign w:val="center"/>
          </w:tcPr>
          <w:p w14:paraId="7EE0412D">
            <w:pPr>
              <w:widowControl/>
              <w:ind w:left="105" w:leftChars="50" w:right="105" w:rightChars="50"/>
              <w:jc w:val="center"/>
              <w:rPr>
                <w:rFonts w:ascii="宋体" w:hAnsi="宋体" w:cs="宋体"/>
                <w:bCs/>
                <w:sz w:val="18"/>
                <w:szCs w:val="18"/>
              </w:rPr>
            </w:pPr>
            <w:r>
              <w:rPr>
                <w:rFonts w:hint="eastAsia" w:ascii="宋体" w:hAnsi="宋体" w:cs="宋体"/>
                <w:bCs/>
                <w:sz w:val="18"/>
                <w:szCs w:val="18"/>
              </w:rPr>
              <w:t>欧姆龙或施耐德</w:t>
            </w:r>
          </w:p>
        </w:tc>
        <w:tc>
          <w:tcPr>
            <w:tcW w:w="3577" w:type="dxa"/>
            <w:tcBorders>
              <w:top w:val="single" w:color="000000" w:sz="4" w:space="0"/>
              <w:left w:val="single" w:color="000000" w:sz="4" w:space="0"/>
              <w:bottom w:val="single" w:color="000000" w:sz="4" w:space="0"/>
              <w:right w:val="single" w:color="000000" w:sz="4" w:space="0"/>
            </w:tcBorders>
            <w:noWrap/>
            <w:vAlign w:val="center"/>
          </w:tcPr>
          <w:p w14:paraId="24825A0C">
            <w:pPr>
              <w:widowControl/>
              <w:ind w:left="105" w:leftChars="50" w:right="105" w:rightChars="50"/>
              <w:jc w:val="center"/>
              <w:rPr>
                <w:rFonts w:ascii="宋体" w:hAnsi="宋体" w:cs="宋体"/>
                <w:bCs/>
                <w:sz w:val="18"/>
                <w:szCs w:val="18"/>
              </w:rPr>
            </w:pPr>
          </w:p>
        </w:tc>
      </w:tr>
      <w:tr w14:paraId="2B959782">
        <w:tblPrEx>
          <w:tblCellMar>
            <w:top w:w="0" w:type="dxa"/>
            <w:left w:w="0" w:type="dxa"/>
            <w:bottom w:w="0" w:type="dxa"/>
            <w:right w:w="0" w:type="dxa"/>
          </w:tblCellMar>
        </w:tblPrEx>
        <w:trPr>
          <w:trHeight w:val="466" w:hRule="exact"/>
          <w:jc w:val="right"/>
        </w:trPr>
        <w:tc>
          <w:tcPr>
            <w:tcW w:w="695" w:type="dxa"/>
            <w:tcBorders>
              <w:top w:val="single" w:color="000000" w:sz="4" w:space="0"/>
              <w:left w:val="single" w:color="000000" w:sz="4" w:space="0"/>
              <w:bottom w:val="single" w:color="000000" w:sz="4" w:space="0"/>
              <w:right w:val="single" w:color="000000" w:sz="4" w:space="0"/>
            </w:tcBorders>
            <w:noWrap/>
            <w:vAlign w:val="center"/>
          </w:tcPr>
          <w:p w14:paraId="6CBAE929">
            <w:pPr>
              <w:widowControl/>
              <w:jc w:val="center"/>
              <w:rPr>
                <w:rFonts w:ascii="宋体" w:hAnsi="宋体" w:cs="宋体"/>
                <w:bCs/>
                <w:sz w:val="18"/>
                <w:szCs w:val="18"/>
              </w:rPr>
            </w:pPr>
            <w:r>
              <w:rPr>
                <w:rFonts w:hint="eastAsia" w:ascii="宋体" w:hAnsi="宋体" w:cs="宋体"/>
                <w:bCs/>
                <w:sz w:val="18"/>
                <w:szCs w:val="18"/>
              </w:rPr>
              <w:t>7</w:t>
            </w:r>
          </w:p>
        </w:tc>
        <w:tc>
          <w:tcPr>
            <w:tcW w:w="2344" w:type="dxa"/>
            <w:tcBorders>
              <w:top w:val="single" w:color="000000" w:sz="4" w:space="0"/>
              <w:left w:val="single" w:color="000000" w:sz="4" w:space="0"/>
              <w:bottom w:val="single" w:color="000000" w:sz="4" w:space="0"/>
              <w:right w:val="single" w:color="000000" w:sz="4" w:space="0"/>
            </w:tcBorders>
            <w:noWrap/>
            <w:vAlign w:val="center"/>
          </w:tcPr>
          <w:p w14:paraId="61E83819">
            <w:pPr>
              <w:widowControl/>
              <w:ind w:left="105" w:leftChars="50" w:right="105" w:rightChars="50"/>
              <w:jc w:val="center"/>
              <w:rPr>
                <w:rFonts w:ascii="宋体" w:hAnsi="宋体" w:cs="宋体"/>
                <w:bCs/>
                <w:sz w:val="18"/>
                <w:szCs w:val="18"/>
              </w:rPr>
            </w:pPr>
            <w:r>
              <w:rPr>
                <w:rFonts w:hint="eastAsia" w:ascii="宋体" w:hAnsi="宋体" w:cs="宋体"/>
                <w:bCs/>
                <w:sz w:val="18"/>
                <w:szCs w:val="18"/>
              </w:rPr>
              <w:t>电极</w:t>
            </w:r>
          </w:p>
        </w:tc>
        <w:tc>
          <w:tcPr>
            <w:tcW w:w="2259" w:type="dxa"/>
            <w:tcBorders>
              <w:top w:val="single" w:color="000000" w:sz="4" w:space="0"/>
              <w:left w:val="single" w:color="000000" w:sz="4" w:space="0"/>
              <w:bottom w:val="single" w:color="000000" w:sz="4" w:space="0"/>
              <w:right w:val="single" w:color="000000" w:sz="4" w:space="0"/>
            </w:tcBorders>
            <w:noWrap/>
            <w:vAlign w:val="center"/>
          </w:tcPr>
          <w:p w14:paraId="0A68CD26">
            <w:pPr>
              <w:widowControl/>
              <w:ind w:left="105" w:leftChars="50" w:right="105" w:rightChars="50"/>
              <w:jc w:val="center"/>
              <w:rPr>
                <w:rFonts w:ascii="宋体" w:hAnsi="宋体" w:cs="宋体"/>
                <w:bCs/>
                <w:sz w:val="18"/>
                <w:szCs w:val="18"/>
              </w:rPr>
            </w:pPr>
            <w:r>
              <w:rPr>
                <w:rFonts w:hint="eastAsia" w:ascii="宋体" w:hAnsi="宋体" w:cs="宋体"/>
                <w:bCs/>
                <w:sz w:val="18"/>
                <w:szCs w:val="18"/>
              </w:rPr>
              <w:t>BeCoCu和铬锆铜</w:t>
            </w:r>
          </w:p>
        </w:tc>
        <w:tc>
          <w:tcPr>
            <w:tcW w:w="3577" w:type="dxa"/>
            <w:tcBorders>
              <w:top w:val="single" w:color="000000" w:sz="4" w:space="0"/>
              <w:left w:val="single" w:color="000000" w:sz="4" w:space="0"/>
              <w:bottom w:val="single" w:color="000000" w:sz="4" w:space="0"/>
              <w:right w:val="single" w:color="000000" w:sz="4" w:space="0"/>
            </w:tcBorders>
            <w:noWrap/>
            <w:vAlign w:val="center"/>
          </w:tcPr>
          <w:p w14:paraId="647B1AB6">
            <w:pPr>
              <w:widowControl/>
              <w:ind w:left="105" w:leftChars="50" w:right="105" w:rightChars="50"/>
              <w:jc w:val="center"/>
              <w:rPr>
                <w:rFonts w:ascii="宋体" w:hAnsi="宋体" w:cs="宋体"/>
                <w:bCs/>
                <w:sz w:val="18"/>
                <w:szCs w:val="18"/>
              </w:rPr>
            </w:pPr>
            <w:r>
              <w:rPr>
                <w:rFonts w:hint="eastAsia" w:ascii="宋体" w:hAnsi="宋体" w:cs="宋体"/>
                <w:bCs/>
                <w:sz w:val="18"/>
                <w:szCs w:val="18"/>
              </w:rPr>
              <w:t>材料</w:t>
            </w:r>
          </w:p>
        </w:tc>
      </w:tr>
      <w:tr w14:paraId="637A09A1">
        <w:tblPrEx>
          <w:tblCellMar>
            <w:top w:w="0" w:type="dxa"/>
            <w:left w:w="0" w:type="dxa"/>
            <w:bottom w:w="0" w:type="dxa"/>
            <w:right w:w="0" w:type="dxa"/>
          </w:tblCellMar>
        </w:tblPrEx>
        <w:trPr>
          <w:trHeight w:val="397" w:hRule="exact"/>
          <w:jc w:val="right"/>
        </w:trPr>
        <w:tc>
          <w:tcPr>
            <w:tcW w:w="695" w:type="dxa"/>
            <w:tcBorders>
              <w:top w:val="single" w:color="000000" w:sz="4" w:space="0"/>
              <w:left w:val="single" w:color="000000" w:sz="4" w:space="0"/>
              <w:bottom w:val="single" w:color="000000" w:sz="4" w:space="0"/>
              <w:right w:val="single" w:color="000000" w:sz="4" w:space="0"/>
            </w:tcBorders>
            <w:noWrap/>
            <w:vAlign w:val="center"/>
          </w:tcPr>
          <w:p w14:paraId="58175890">
            <w:pPr>
              <w:widowControl/>
              <w:jc w:val="center"/>
              <w:rPr>
                <w:rFonts w:ascii="宋体" w:hAnsi="宋体" w:cs="宋体"/>
                <w:bCs/>
                <w:sz w:val="18"/>
                <w:szCs w:val="18"/>
              </w:rPr>
            </w:pPr>
            <w:r>
              <w:rPr>
                <w:rFonts w:hint="eastAsia" w:ascii="宋体" w:hAnsi="宋体" w:cs="宋体"/>
                <w:bCs/>
                <w:sz w:val="18"/>
                <w:szCs w:val="18"/>
              </w:rPr>
              <w:t>8</w:t>
            </w:r>
          </w:p>
        </w:tc>
        <w:tc>
          <w:tcPr>
            <w:tcW w:w="2344" w:type="dxa"/>
            <w:tcBorders>
              <w:top w:val="single" w:color="000000" w:sz="4" w:space="0"/>
              <w:left w:val="single" w:color="000000" w:sz="4" w:space="0"/>
              <w:bottom w:val="single" w:color="000000" w:sz="4" w:space="0"/>
              <w:right w:val="single" w:color="000000" w:sz="4" w:space="0"/>
            </w:tcBorders>
            <w:noWrap/>
            <w:vAlign w:val="center"/>
          </w:tcPr>
          <w:p w14:paraId="612EA48F">
            <w:pPr>
              <w:widowControl/>
              <w:ind w:left="105" w:leftChars="50" w:right="105" w:rightChars="50"/>
              <w:jc w:val="center"/>
              <w:rPr>
                <w:rFonts w:ascii="宋体" w:hAnsi="宋体" w:cs="宋体"/>
                <w:bCs/>
                <w:sz w:val="18"/>
                <w:szCs w:val="18"/>
              </w:rPr>
            </w:pPr>
            <w:r>
              <w:rPr>
                <w:rFonts w:hint="eastAsia" w:ascii="宋体" w:hAnsi="宋体" w:cs="宋体"/>
                <w:bCs/>
                <w:sz w:val="18"/>
                <w:szCs w:val="18"/>
              </w:rPr>
              <w:t>导电回路</w:t>
            </w:r>
          </w:p>
        </w:tc>
        <w:tc>
          <w:tcPr>
            <w:tcW w:w="2259" w:type="dxa"/>
            <w:tcBorders>
              <w:top w:val="single" w:color="000000" w:sz="4" w:space="0"/>
              <w:left w:val="single" w:color="000000" w:sz="4" w:space="0"/>
              <w:bottom w:val="single" w:color="000000" w:sz="4" w:space="0"/>
              <w:right w:val="single" w:color="000000" w:sz="4" w:space="0"/>
            </w:tcBorders>
            <w:noWrap/>
            <w:vAlign w:val="center"/>
          </w:tcPr>
          <w:p w14:paraId="34CC4DDB">
            <w:pPr>
              <w:widowControl/>
              <w:ind w:left="105" w:leftChars="50" w:right="105" w:rightChars="50"/>
              <w:jc w:val="center"/>
              <w:rPr>
                <w:rFonts w:ascii="宋体" w:hAnsi="宋体" w:cs="宋体"/>
                <w:bCs/>
                <w:sz w:val="18"/>
                <w:szCs w:val="18"/>
              </w:rPr>
            </w:pPr>
            <w:r>
              <w:rPr>
                <w:rFonts w:hint="eastAsia" w:ascii="宋体" w:hAnsi="宋体" w:cs="宋体"/>
                <w:bCs/>
                <w:sz w:val="18"/>
                <w:szCs w:val="18"/>
              </w:rPr>
              <w:t>紫铜</w:t>
            </w:r>
          </w:p>
        </w:tc>
        <w:tc>
          <w:tcPr>
            <w:tcW w:w="3577" w:type="dxa"/>
            <w:tcBorders>
              <w:top w:val="single" w:color="000000" w:sz="4" w:space="0"/>
              <w:left w:val="single" w:color="000000" w:sz="4" w:space="0"/>
              <w:bottom w:val="single" w:color="000000" w:sz="4" w:space="0"/>
              <w:right w:val="single" w:color="000000" w:sz="4" w:space="0"/>
            </w:tcBorders>
            <w:noWrap/>
            <w:vAlign w:val="center"/>
          </w:tcPr>
          <w:p w14:paraId="416A6219">
            <w:pPr>
              <w:widowControl/>
              <w:ind w:left="105" w:leftChars="50" w:right="105" w:rightChars="50"/>
              <w:jc w:val="center"/>
              <w:rPr>
                <w:rFonts w:ascii="宋体" w:hAnsi="宋体" w:cs="宋体"/>
                <w:bCs/>
                <w:sz w:val="18"/>
                <w:szCs w:val="18"/>
              </w:rPr>
            </w:pPr>
            <w:r>
              <w:rPr>
                <w:rFonts w:hint="eastAsia" w:ascii="宋体" w:hAnsi="宋体" w:cs="宋体"/>
                <w:bCs/>
                <w:sz w:val="18"/>
                <w:szCs w:val="18"/>
              </w:rPr>
              <w:t>材料</w:t>
            </w:r>
          </w:p>
        </w:tc>
      </w:tr>
      <w:tr w14:paraId="73EAAB97">
        <w:tblPrEx>
          <w:tblCellMar>
            <w:top w:w="0" w:type="dxa"/>
            <w:left w:w="0" w:type="dxa"/>
            <w:bottom w:w="0" w:type="dxa"/>
            <w:right w:w="0" w:type="dxa"/>
          </w:tblCellMar>
        </w:tblPrEx>
        <w:trPr>
          <w:trHeight w:val="397" w:hRule="exact"/>
          <w:jc w:val="right"/>
        </w:trPr>
        <w:tc>
          <w:tcPr>
            <w:tcW w:w="695" w:type="dxa"/>
            <w:tcBorders>
              <w:top w:val="single" w:color="000000" w:sz="4" w:space="0"/>
              <w:left w:val="single" w:color="000000" w:sz="4" w:space="0"/>
              <w:bottom w:val="single" w:color="000000" w:sz="4" w:space="0"/>
              <w:right w:val="single" w:color="000000" w:sz="4" w:space="0"/>
            </w:tcBorders>
            <w:noWrap/>
            <w:vAlign w:val="center"/>
          </w:tcPr>
          <w:p w14:paraId="4D0BB5E8">
            <w:pPr>
              <w:widowControl/>
              <w:jc w:val="center"/>
              <w:rPr>
                <w:rFonts w:ascii="宋体" w:hAnsi="宋体" w:cs="宋体"/>
                <w:sz w:val="18"/>
                <w:szCs w:val="18"/>
              </w:rPr>
            </w:pPr>
            <w:r>
              <w:rPr>
                <w:rFonts w:hint="eastAsia" w:ascii="宋体" w:hAnsi="宋体" w:cs="宋体"/>
                <w:sz w:val="18"/>
                <w:szCs w:val="18"/>
              </w:rPr>
              <w:t>9</w:t>
            </w:r>
          </w:p>
        </w:tc>
        <w:tc>
          <w:tcPr>
            <w:tcW w:w="2344" w:type="dxa"/>
            <w:tcBorders>
              <w:top w:val="single" w:color="000000" w:sz="4" w:space="0"/>
              <w:left w:val="single" w:color="000000" w:sz="4" w:space="0"/>
              <w:bottom w:val="single" w:color="000000" w:sz="4" w:space="0"/>
              <w:right w:val="single" w:color="000000" w:sz="4" w:space="0"/>
            </w:tcBorders>
            <w:noWrap/>
            <w:vAlign w:val="center"/>
          </w:tcPr>
          <w:p w14:paraId="7A4787DF">
            <w:pPr>
              <w:widowControl/>
              <w:ind w:left="105" w:leftChars="50" w:right="105" w:rightChars="50"/>
              <w:jc w:val="center"/>
              <w:rPr>
                <w:rFonts w:ascii="宋体" w:hAnsi="宋体" w:cs="宋体"/>
                <w:sz w:val="18"/>
                <w:szCs w:val="18"/>
              </w:rPr>
            </w:pPr>
            <w:r>
              <w:rPr>
                <w:rFonts w:hint="eastAsia" w:ascii="宋体" w:hAnsi="宋体" w:cs="宋体"/>
                <w:sz w:val="18"/>
                <w:szCs w:val="18"/>
              </w:rPr>
              <w:t>电极安装座</w:t>
            </w:r>
          </w:p>
        </w:tc>
        <w:tc>
          <w:tcPr>
            <w:tcW w:w="2259" w:type="dxa"/>
            <w:tcBorders>
              <w:top w:val="single" w:color="000000" w:sz="4" w:space="0"/>
              <w:left w:val="single" w:color="000000" w:sz="4" w:space="0"/>
              <w:bottom w:val="single" w:color="000000" w:sz="4" w:space="0"/>
              <w:right w:val="single" w:color="000000" w:sz="4" w:space="0"/>
            </w:tcBorders>
            <w:noWrap/>
            <w:vAlign w:val="center"/>
          </w:tcPr>
          <w:p w14:paraId="16487BD7">
            <w:pPr>
              <w:widowControl/>
              <w:ind w:left="105" w:leftChars="50" w:right="105" w:rightChars="50"/>
              <w:jc w:val="center"/>
              <w:rPr>
                <w:rFonts w:ascii="宋体" w:hAnsi="宋体" w:cs="宋体"/>
                <w:b/>
                <w:sz w:val="18"/>
                <w:szCs w:val="18"/>
              </w:rPr>
            </w:pPr>
            <w:r>
              <w:rPr>
                <w:rFonts w:hint="eastAsia" w:ascii="宋体" w:hAnsi="宋体" w:cs="宋体"/>
                <w:sz w:val="18"/>
                <w:szCs w:val="18"/>
              </w:rPr>
              <w:t>铬镐铜</w:t>
            </w:r>
          </w:p>
        </w:tc>
        <w:tc>
          <w:tcPr>
            <w:tcW w:w="3577" w:type="dxa"/>
            <w:tcBorders>
              <w:top w:val="single" w:color="000000" w:sz="4" w:space="0"/>
              <w:left w:val="single" w:color="000000" w:sz="4" w:space="0"/>
              <w:bottom w:val="single" w:color="000000" w:sz="4" w:space="0"/>
              <w:right w:val="single" w:color="000000" w:sz="4" w:space="0"/>
            </w:tcBorders>
            <w:noWrap/>
            <w:vAlign w:val="center"/>
          </w:tcPr>
          <w:p w14:paraId="5CA01C16">
            <w:pPr>
              <w:widowControl/>
              <w:ind w:left="105" w:leftChars="50" w:right="105" w:rightChars="50"/>
              <w:jc w:val="center"/>
              <w:rPr>
                <w:rFonts w:ascii="宋体" w:hAnsi="宋体" w:cs="宋体"/>
                <w:b/>
                <w:sz w:val="18"/>
                <w:szCs w:val="18"/>
              </w:rPr>
            </w:pPr>
          </w:p>
        </w:tc>
      </w:tr>
      <w:tr w14:paraId="008E318C">
        <w:tblPrEx>
          <w:tblCellMar>
            <w:top w:w="0" w:type="dxa"/>
            <w:left w:w="0" w:type="dxa"/>
            <w:bottom w:w="0" w:type="dxa"/>
            <w:right w:w="0" w:type="dxa"/>
          </w:tblCellMar>
        </w:tblPrEx>
        <w:trPr>
          <w:trHeight w:val="397" w:hRule="exact"/>
          <w:jc w:val="right"/>
        </w:trPr>
        <w:tc>
          <w:tcPr>
            <w:tcW w:w="695" w:type="dxa"/>
            <w:tcBorders>
              <w:top w:val="single" w:color="000000" w:sz="4" w:space="0"/>
              <w:left w:val="single" w:color="000000" w:sz="4" w:space="0"/>
              <w:bottom w:val="single" w:color="000000" w:sz="4" w:space="0"/>
              <w:right w:val="single" w:color="000000" w:sz="4" w:space="0"/>
            </w:tcBorders>
            <w:noWrap/>
            <w:vAlign w:val="center"/>
          </w:tcPr>
          <w:p w14:paraId="6BEB1806">
            <w:pPr>
              <w:widowControl/>
              <w:jc w:val="center"/>
              <w:rPr>
                <w:rFonts w:ascii="宋体" w:hAnsi="宋体" w:cs="宋体"/>
                <w:sz w:val="18"/>
                <w:szCs w:val="18"/>
              </w:rPr>
            </w:pPr>
            <w:r>
              <w:rPr>
                <w:rFonts w:hint="eastAsia" w:ascii="宋体" w:hAnsi="宋体" w:cs="宋体"/>
                <w:sz w:val="18"/>
                <w:szCs w:val="18"/>
              </w:rPr>
              <w:t>10</w:t>
            </w:r>
          </w:p>
        </w:tc>
        <w:tc>
          <w:tcPr>
            <w:tcW w:w="2344" w:type="dxa"/>
            <w:tcBorders>
              <w:top w:val="single" w:color="000000" w:sz="4" w:space="0"/>
              <w:left w:val="single" w:color="000000" w:sz="4" w:space="0"/>
              <w:bottom w:val="single" w:color="000000" w:sz="4" w:space="0"/>
              <w:right w:val="single" w:color="000000" w:sz="4" w:space="0"/>
            </w:tcBorders>
            <w:noWrap/>
            <w:vAlign w:val="center"/>
          </w:tcPr>
          <w:p w14:paraId="259245CD">
            <w:pPr>
              <w:widowControl/>
              <w:ind w:left="105" w:leftChars="50" w:right="105" w:rightChars="50"/>
              <w:jc w:val="center"/>
              <w:rPr>
                <w:rFonts w:ascii="宋体" w:hAnsi="宋体" w:cs="宋体"/>
                <w:sz w:val="18"/>
                <w:szCs w:val="18"/>
              </w:rPr>
            </w:pPr>
            <w:r>
              <w:rPr>
                <w:rFonts w:hint="eastAsia" w:ascii="宋体" w:hAnsi="宋体" w:cs="宋体"/>
                <w:sz w:val="18"/>
                <w:szCs w:val="18"/>
              </w:rPr>
              <w:t>机器人</w:t>
            </w:r>
          </w:p>
        </w:tc>
        <w:tc>
          <w:tcPr>
            <w:tcW w:w="2259" w:type="dxa"/>
            <w:tcBorders>
              <w:top w:val="single" w:color="000000" w:sz="4" w:space="0"/>
              <w:left w:val="single" w:color="000000" w:sz="4" w:space="0"/>
              <w:bottom w:val="single" w:color="000000" w:sz="4" w:space="0"/>
              <w:right w:val="single" w:color="000000" w:sz="4" w:space="0"/>
            </w:tcBorders>
            <w:noWrap/>
            <w:vAlign w:val="center"/>
          </w:tcPr>
          <w:p w14:paraId="17BA3567">
            <w:pPr>
              <w:widowControl/>
              <w:ind w:left="105" w:leftChars="50" w:right="105" w:rightChars="50"/>
              <w:jc w:val="center"/>
              <w:rPr>
                <w:rFonts w:ascii="宋体" w:hAnsi="宋体" w:cs="宋体"/>
                <w:sz w:val="18"/>
                <w:szCs w:val="18"/>
              </w:rPr>
            </w:pPr>
            <w:r>
              <w:rPr>
                <w:rFonts w:hint="eastAsia" w:ascii="宋体" w:hAnsi="宋体" w:cs="宋体"/>
                <w:sz w:val="18"/>
                <w:szCs w:val="18"/>
              </w:rPr>
              <w:t>FANUC、NACHI</w:t>
            </w:r>
          </w:p>
        </w:tc>
        <w:tc>
          <w:tcPr>
            <w:tcW w:w="3577" w:type="dxa"/>
            <w:tcBorders>
              <w:top w:val="single" w:color="000000" w:sz="4" w:space="0"/>
              <w:left w:val="single" w:color="000000" w:sz="4" w:space="0"/>
              <w:bottom w:val="single" w:color="000000" w:sz="4" w:space="0"/>
              <w:right w:val="single" w:color="000000" w:sz="4" w:space="0"/>
            </w:tcBorders>
            <w:noWrap/>
            <w:vAlign w:val="center"/>
          </w:tcPr>
          <w:p w14:paraId="13229E92">
            <w:pPr>
              <w:widowControl/>
              <w:ind w:left="105" w:leftChars="50" w:right="105" w:rightChars="50"/>
              <w:jc w:val="center"/>
              <w:rPr>
                <w:rFonts w:ascii="宋体" w:hAnsi="宋体" w:cs="宋体"/>
                <w:b/>
                <w:sz w:val="18"/>
                <w:szCs w:val="18"/>
              </w:rPr>
            </w:pPr>
            <w:r>
              <w:rPr>
                <w:rFonts w:hint="eastAsia" w:ascii="宋体" w:hAnsi="宋体" w:cs="宋体"/>
                <w:bCs/>
                <w:sz w:val="18"/>
                <w:szCs w:val="18"/>
              </w:rPr>
              <w:t>铜管、接线柱采用FANUC</w:t>
            </w:r>
          </w:p>
        </w:tc>
      </w:tr>
    </w:tbl>
    <w:p w14:paraId="0ED0DAF5">
      <w:pPr>
        <w:numPr>
          <w:ilvl w:val="0"/>
          <w:numId w:val="28"/>
        </w:numPr>
        <w:overflowPunct w:val="0"/>
        <w:rPr>
          <w:rFonts w:ascii="宋体" w:hAnsi="宋体" w:cs="宋体"/>
          <w:spacing w:val="4"/>
          <w:szCs w:val="21"/>
        </w:rPr>
      </w:pPr>
      <w:r>
        <w:rPr>
          <w:rFonts w:ascii="宋体" w:hAnsi="宋体" w:cs="宋体"/>
          <w:spacing w:val="4"/>
          <w:szCs w:val="21"/>
        </w:rPr>
        <w:t xml:space="preserve"> 设计制造验收程序</w:t>
      </w:r>
    </w:p>
    <w:p w14:paraId="2347FADF">
      <w:pPr>
        <w:numPr>
          <w:ilvl w:val="0"/>
          <w:numId w:val="37"/>
        </w:numPr>
        <w:snapToGrid w:val="0"/>
        <w:ind w:hanging="5"/>
        <w:rPr>
          <w:rFonts w:ascii="宋体" w:hAnsi="宋体" w:cs="宋体"/>
          <w:szCs w:val="21"/>
        </w:rPr>
      </w:pPr>
      <w:r>
        <w:rPr>
          <w:rFonts w:hint="eastAsia" w:ascii="宋体" w:hAnsi="宋体" w:cs="宋体"/>
          <w:szCs w:val="21"/>
        </w:rPr>
        <w:t>图纸会审：卖方完成设备设计后通知买方进行图纸会审，图纸会审在买方工厂进行，设备的零件加工示意图，设备结构图，上下料工装方案，设备平面布置，以及合同不一致的方案，需在图纸会审时详细讨论、确定；</w:t>
      </w:r>
    </w:p>
    <w:p w14:paraId="5983B1B0">
      <w:pPr>
        <w:numPr>
          <w:ilvl w:val="0"/>
          <w:numId w:val="37"/>
        </w:numPr>
        <w:snapToGrid w:val="0"/>
        <w:ind w:hanging="5"/>
        <w:rPr>
          <w:rFonts w:ascii="宋体" w:hAnsi="宋体" w:cs="宋体"/>
          <w:szCs w:val="21"/>
        </w:rPr>
      </w:pPr>
      <w:r>
        <w:rPr>
          <w:rFonts w:hint="eastAsia" w:ascii="宋体" w:hAnsi="宋体" w:cs="宋体"/>
          <w:szCs w:val="21"/>
        </w:rPr>
        <w:t xml:space="preserve"> 设备的验收分两个阶段进行；</w:t>
      </w:r>
    </w:p>
    <w:p w14:paraId="529DF9ED">
      <w:pPr>
        <w:widowControl/>
        <w:numPr>
          <w:ilvl w:val="0"/>
          <w:numId w:val="38"/>
        </w:numPr>
        <w:snapToGrid w:val="0"/>
        <w:ind w:left="821" w:leftChars="391" w:firstLine="16" w:firstLineChars="8"/>
        <w:rPr>
          <w:rFonts w:ascii="宋体" w:hAnsi="宋体" w:cs="宋体"/>
          <w:szCs w:val="21"/>
        </w:rPr>
      </w:pPr>
      <w:r>
        <w:rPr>
          <w:rFonts w:hint="eastAsia" w:ascii="宋体" w:hAnsi="宋体" w:cs="宋体"/>
          <w:szCs w:val="21"/>
        </w:rPr>
        <w:t>预验收：预验收在卖方工厂进行，预验收前5天，由卖方书面通知买方，买方将派遣人员进行预验收和培训；</w:t>
      </w:r>
    </w:p>
    <w:p w14:paraId="3147E6FB">
      <w:pPr>
        <w:widowControl/>
        <w:numPr>
          <w:ilvl w:val="0"/>
          <w:numId w:val="38"/>
        </w:numPr>
        <w:snapToGrid w:val="0"/>
        <w:ind w:left="821" w:leftChars="391" w:firstLine="16" w:firstLineChars="8"/>
        <w:rPr>
          <w:rFonts w:ascii="宋体" w:hAnsi="宋体" w:cs="宋体"/>
          <w:szCs w:val="21"/>
        </w:rPr>
      </w:pPr>
      <w:r>
        <w:rPr>
          <w:rFonts w:hint="eastAsia" w:ascii="宋体" w:hAnsi="宋体" w:cs="宋体"/>
          <w:szCs w:val="21"/>
        </w:rPr>
        <w:t xml:space="preserve"> 终验收：在买方使用现场进行，买方负责设备的就位，卖方负责设备的安装、调试、试运行，达到设计要求和预验收纪要中的整改要求后进行终验收，期间买方进行全力配合；</w:t>
      </w:r>
    </w:p>
    <w:p w14:paraId="5672D967">
      <w:pPr>
        <w:widowControl/>
        <w:numPr>
          <w:ilvl w:val="0"/>
          <w:numId w:val="38"/>
        </w:numPr>
        <w:snapToGrid w:val="0"/>
        <w:ind w:left="821" w:leftChars="391" w:firstLine="16" w:firstLineChars="8"/>
        <w:rPr>
          <w:rFonts w:ascii="宋体" w:hAnsi="宋体" w:cs="宋体"/>
          <w:szCs w:val="21"/>
        </w:rPr>
      </w:pPr>
      <w:r>
        <w:rPr>
          <w:rFonts w:hint="eastAsia" w:ascii="宋体" w:hAnsi="宋体" w:cs="宋体"/>
          <w:szCs w:val="21"/>
        </w:rPr>
        <w:t>验收方法： 外观验收—连续生产—焊接质量检查、分析（试加工、连续加工）—双方对验收结果的确认并签订验收纪要；</w:t>
      </w:r>
    </w:p>
    <w:p w14:paraId="4A66B44A">
      <w:pPr>
        <w:widowControl/>
        <w:numPr>
          <w:ilvl w:val="0"/>
          <w:numId w:val="39"/>
        </w:numPr>
        <w:adjustRightInd w:val="0"/>
        <w:snapToGrid w:val="0"/>
        <w:ind w:left="1476" w:leftChars="600" w:hanging="216" w:hangingChars="103"/>
        <w:rPr>
          <w:rFonts w:ascii="宋体" w:hAnsi="宋体" w:cs="宋体"/>
          <w:szCs w:val="21"/>
        </w:rPr>
      </w:pPr>
      <w:r>
        <w:rPr>
          <w:rFonts w:hint="eastAsia" w:ascii="宋体" w:hAnsi="宋体" w:cs="宋体"/>
          <w:szCs w:val="21"/>
        </w:rPr>
        <w:t>外观验收：主要是检查设备的结构、整体布置、元器件配置品牌等，是否符合合同、技术协议及相关补充条款的要求，检查设备精度，是否符合出厂精度要求；</w:t>
      </w:r>
    </w:p>
    <w:p w14:paraId="6BB4D1F0">
      <w:pPr>
        <w:widowControl/>
        <w:numPr>
          <w:ilvl w:val="0"/>
          <w:numId w:val="39"/>
        </w:numPr>
        <w:adjustRightInd w:val="0"/>
        <w:snapToGrid w:val="0"/>
        <w:ind w:left="1476" w:leftChars="600" w:hanging="216" w:hangingChars="103"/>
        <w:rPr>
          <w:rFonts w:ascii="宋体" w:hAnsi="宋体" w:cs="宋体"/>
          <w:szCs w:val="21"/>
        </w:rPr>
      </w:pPr>
      <w:r>
        <w:rPr>
          <w:rFonts w:hint="eastAsia" w:ascii="宋体" w:hAnsi="宋体" w:cs="宋体"/>
          <w:szCs w:val="21"/>
        </w:rPr>
        <w:t>预验收、终验收：不更换零部件的故障停机时间，预验收不超过5分钟、终验收不超过30分钟，否则需重新开始；</w:t>
      </w:r>
    </w:p>
    <w:p w14:paraId="60A0C5BB">
      <w:pPr>
        <w:numPr>
          <w:ilvl w:val="0"/>
          <w:numId w:val="37"/>
        </w:numPr>
        <w:snapToGrid w:val="0"/>
        <w:ind w:hanging="5"/>
        <w:rPr>
          <w:rFonts w:ascii="宋体" w:hAnsi="宋体" w:cs="宋体"/>
          <w:szCs w:val="21"/>
        </w:rPr>
      </w:pPr>
      <w:r>
        <w:rPr>
          <w:rFonts w:hint="eastAsia" w:ascii="宋体" w:hAnsi="宋体" w:cs="宋体"/>
          <w:szCs w:val="21"/>
        </w:rPr>
        <w:t>终验收的质量要求</w:t>
      </w:r>
    </w:p>
    <w:p w14:paraId="16217F2F">
      <w:pPr>
        <w:widowControl/>
        <w:numPr>
          <w:ilvl w:val="0"/>
          <w:numId w:val="40"/>
        </w:numPr>
        <w:snapToGrid w:val="0"/>
        <w:ind w:left="825" w:firstLine="15"/>
        <w:rPr>
          <w:rFonts w:ascii="宋体" w:hAnsi="宋体" w:cs="宋体"/>
          <w:szCs w:val="21"/>
        </w:rPr>
      </w:pPr>
      <w:r>
        <w:rPr>
          <w:rFonts w:hint="eastAsia" w:ascii="宋体" w:hAnsi="宋体" w:cs="宋体"/>
          <w:szCs w:val="21"/>
        </w:rPr>
        <w:t>分试加工和连续加工二步进行；</w:t>
      </w:r>
    </w:p>
    <w:p w14:paraId="626B0E84">
      <w:pPr>
        <w:ind w:left="1260" w:leftChars="600"/>
        <w:rPr>
          <w:rFonts w:ascii="宋体" w:hAnsi="宋体" w:cs="宋体"/>
          <w:szCs w:val="21"/>
        </w:rPr>
      </w:pPr>
      <w:r>
        <w:rPr>
          <w:rFonts w:hint="eastAsia" w:ascii="宋体" w:hAnsi="宋体" w:cs="宋体"/>
          <w:szCs w:val="21"/>
        </w:rPr>
        <w:t>A 试加工：买方提供符合图纸要求下壳体及零件。终验收下壳体与各零件各200 件。完成焊接后全检零件合格率须达 100%；</w:t>
      </w:r>
    </w:p>
    <w:p w14:paraId="61D8BB68">
      <w:pPr>
        <w:ind w:left="1260" w:leftChars="600"/>
        <w:rPr>
          <w:rFonts w:ascii="宋体" w:hAnsi="宋体" w:cs="宋体"/>
          <w:szCs w:val="21"/>
        </w:rPr>
      </w:pPr>
      <w:r>
        <w:rPr>
          <w:rFonts w:hint="eastAsia" w:ascii="宋体" w:hAnsi="宋体" w:cs="宋体"/>
          <w:szCs w:val="21"/>
        </w:rPr>
        <w:t>B 连续加工：买方提供符合图纸要求下壳体及零件。终验收下壳体与各零件各5000 件，最终不良率＜200ppm；</w:t>
      </w:r>
    </w:p>
    <w:p w14:paraId="0F604092">
      <w:pPr>
        <w:ind w:left="1260" w:leftChars="600"/>
        <w:rPr>
          <w:rFonts w:ascii="宋体" w:hAnsi="宋体" w:cs="宋体"/>
          <w:szCs w:val="21"/>
        </w:rPr>
      </w:pPr>
      <w:r>
        <w:rPr>
          <w:rFonts w:hint="eastAsia" w:ascii="宋体" w:hAnsi="宋体" w:cs="宋体"/>
          <w:szCs w:val="21"/>
        </w:rPr>
        <w:t>C 零件质量验收的标准满足专项技术要求中规定的质量控制标准。质量验收采用买方自有的（或经买方认可的其他）量、检具；</w:t>
      </w:r>
    </w:p>
    <w:p w14:paraId="2DF7CF86">
      <w:pPr>
        <w:numPr>
          <w:ilvl w:val="0"/>
          <w:numId w:val="37"/>
        </w:numPr>
        <w:snapToGrid w:val="0"/>
        <w:ind w:hanging="5"/>
        <w:rPr>
          <w:rFonts w:ascii="宋体" w:hAnsi="宋体" w:cs="宋体"/>
          <w:szCs w:val="21"/>
        </w:rPr>
      </w:pPr>
      <w:r>
        <w:rPr>
          <w:rFonts w:hint="eastAsia" w:ascii="宋体" w:hAnsi="宋体" w:cs="宋体"/>
          <w:szCs w:val="21"/>
        </w:rPr>
        <w:t>验收通过文件的签署</w:t>
      </w:r>
    </w:p>
    <w:p w14:paraId="6E45B8FB">
      <w:pPr>
        <w:widowControl/>
        <w:numPr>
          <w:ilvl w:val="0"/>
          <w:numId w:val="41"/>
        </w:numPr>
        <w:snapToGrid w:val="0"/>
        <w:ind w:left="825" w:firstLine="15"/>
        <w:rPr>
          <w:rFonts w:ascii="宋体" w:hAnsi="宋体" w:cs="宋体"/>
          <w:szCs w:val="21"/>
        </w:rPr>
      </w:pPr>
      <w:r>
        <w:rPr>
          <w:rFonts w:hint="eastAsia" w:ascii="宋体" w:hAnsi="宋体" w:cs="宋体"/>
          <w:szCs w:val="21"/>
        </w:rPr>
        <w:t>预验收按验收程序进行，双方对验收结果确认后，双方代表签署设备通过预验收的纪要；</w:t>
      </w:r>
    </w:p>
    <w:p w14:paraId="36348533">
      <w:pPr>
        <w:widowControl/>
        <w:numPr>
          <w:ilvl w:val="0"/>
          <w:numId w:val="41"/>
        </w:numPr>
        <w:snapToGrid w:val="0"/>
        <w:ind w:left="825" w:firstLine="15"/>
        <w:rPr>
          <w:rFonts w:ascii="宋体" w:hAnsi="宋体" w:cs="宋体"/>
          <w:szCs w:val="21"/>
        </w:rPr>
      </w:pPr>
      <w:r>
        <w:rPr>
          <w:rFonts w:hint="eastAsia" w:ascii="宋体" w:hAnsi="宋体" w:cs="宋体"/>
          <w:szCs w:val="21"/>
        </w:rPr>
        <w:t>终验收按验收程序进行，双方对验收结果确认后，双方代表签署设备通过终验收的纪要；</w:t>
      </w:r>
    </w:p>
    <w:p w14:paraId="38E82568">
      <w:pPr>
        <w:numPr>
          <w:ilvl w:val="0"/>
          <w:numId w:val="37"/>
        </w:numPr>
        <w:snapToGrid w:val="0"/>
        <w:ind w:hanging="5"/>
        <w:rPr>
          <w:rFonts w:ascii="宋体" w:hAnsi="宋体" w:cs="宋体"/>
          <w:szCs w:val="21"/>
        </w:rPr>
      </w:pPr>
      <w:r>
        <w:rPr>
          <w:rFonts w:hint="eastAsia" w:ascii="宋体" w:hAnsi="宋体" w:cs="宋体"/>
          <w:szCs w:val="21"/>
        </w:rPr>
        <w:t>验收过程中，卖方技术人员应对买方技术和操作维护人员进行使用、维护的技术培训，为期5天；卖方负责买方使用好设备过程的技术支持；</w:t>
      </w:r>
    </w:p>
    <w:p w14:paraId="0643CD32">
      <w:pPr>
        <w:numPr>
          <w:ilvl w:val="2"/>
          <w:numId w:val="42"/>
        </w:numPr>
        <w:overflowPunct w:val="0"/>
        <w:rPr>
          <w:rFonts w:ascii="宋体" w:hAnsi="宋体" w:cs="宋体"/>
          <w:spacing w:val="4"/>
          <w:szCs w:val="21"/>
        </w:rPr>
      </w:pPr>
      <w:r>
        <w:rPr>
          <w:rFonts w:hint="eastAsia" w:ascii="宋体" w:hAnsi="宋体" w:cs="宋体"/>
          <w:szCs w:val="21"/>
        </w:rPr>
        <w:t>设备的发运：双方签字通过设备预验收，卖方整改完成后，设备方可发运至买方；</w:t>
      </w:r>
    </w:p>
    <w:p w14:paraId="32810BCA">
      <w:pPr>
        <w:numPr>
          <w:ilvl w:val="1"/>
          <w:numId w:val="42"/>
        </w:numPr>
        <w:overflowPunct w:val="0"/>
        <w:rPr>
          <w:rFonts w:ascii="宋体" w:hAnsi="宋体" w:cs="宋体"/>
          <w:b/>
          <w:bCs/>
          <w:spacing w:val="4"/>
          <w:szCs w:val="21"/>
        </w:rPr>
      </w:pPr>
      <w:r>
        <w:rPr>
          <w:rFonts w:hint="eastAsia" w:ascii="宋体" w:hAnsi="宋体" w:cs="宋体"/>
          <w:b/>
          <w:bCs/>
          <w:spacing w:val="4"/>
          <w:szCs w:val="21"/>
        </w:rPr>
        <w:t>设备保质期：</w:t>
      </w:r>
    </w:p>
    <w:p w14:paraId="53616555">
      <w:pPr>
        <w:numPr>
          <w:ilvl w:val="2"/>
          <w:numId w:val="42"/>
        </w:numPr>
        <w:overflowPunct w:val="0"/>
        <w:rPr>
          <w:rFonts w:ascii="宋体" w:hAnsi="宋体" w:cs="宋体"/>
          <w:spacing w:val="4"/>
          <w:szCs w:val="21"/>
        </w:rPr>
      </w:pPr>
      <w:r>
        <w:rPr>
          <w:rFonts w:hint="eastAsia" w:ascii="宋体" w:hAnsi="宋体" w:cs="宋体"/>
          <w:spacing w:val="4"/>
          <w:szCs w:val="21"/>
        </w:rPr>
        <w:t>设备保证期为签发终验收证书之日起一年，投标方保证其供应的设备是全新的，技术水平是先进的、成熟的、质量优良的、完整的，安全可靠的。在保证期内，设备出现故障，投标方接到招标方通知后3天内须作出响应。若需投标方提供部件，投标方须在10天内发运合格部件；若需投标方到招标方现场解决故障，最迟10天内投标方人员须到达招标方现场故障原因是招标方责任，相关费用由招标方负担；故障原因是投标方责任，相关费用由投标方负担，保证期则相应按实际修理或更换所延误的时间做相应的延长；</w:t>
      </w:r>
    </w:p>
    <w:p w14:paraId="129797E7">
      <w:pPr>
        <w:numPr>
          <w:ilvl w:val="1"/>
          <w:numId w:val="42"/>
        </w:numPr>
        <w:overflowPunct w:val="0"/>
        <w:rPr>
          <w:rFonts w:ascii="宋体" w:hAnsi="宋体" w:cs="宋体"/>
          <w:b/>
          <w:bCs/>
          <w:spacing w:val="4"/>
          <w:szCs w:val="21"/>
        </w:rPr>
      </w:pPr>
      <w:r>
        <w:rPr>
          <w:rFonts w:hint="eastAsia" w:ascii="宋体" w:hAnsi="宋体" w:cs="宋体"/>
          <w:b/>
          <w:bCs/>
          <w:spacing w:val="4"/>
          <w:szCs w:val="21"/>
        </w:rPr>
        <w:t>其他事项：</w:t>
      </w:r>
    </w:p>
    <w:p w14:paraId="500DF96D">
      <w:pPr>
        <w:numPr>
          <w:ilvl w:val="2"/>
          <w:numId w:val="42"/>
        </w:numPr>
        <w:overflowPunct w:val="0"/>
        <w:rPr>
          <w:rFonts w:ascii="宋体" w:hAnsi="宋体" w:cs="宋体"/>
          <w:spacing w:val="4"/>
          <w:szCs w:val="21"/>
        </w:rPr>
      </w:pPr>
      <w:r>
        <w:rPr>
          <w:rFonts w:hint="eastAsia" w:ascii="宋体" w:hAnsi="宋体" w:cs="宋体"/>
          <w:spacing w:val="4"/>
          <w:szCs w:val="21"/>
        </w:rPr>
        <w:t>投标方应对招标方提供的各项技术要求、工艺方案、图纸、实物等保密，未经招标方许可，不得泄露给第三方；</w:t>
      </w:r>
    </w:p>
    <w:p w14:paraId="0AF32483">
      <w:pPr>
        <w:numPr>
          <w:ilvl w:val="2"/>
          <w:numId w:val="42"/>
        </w:numPr>
        <w:overflowPunct w:val="0"/>
        <w:rPr>
          <w:rFonts w:ascii="宋体" w:hAnsi="宋体" w:cs="宋体"/>
          <w:spacing w:val="4"/>
          <w:szCs w:val="21"/>
        </w:rPr>
      </w:pPr>
      <w:r>
        <w:rPr>
          <w:rFonts w:hint="eastAsia" w:ascii="宋体" w:hAnsi="宋体" w:cs="宋体"/>
          <w:spacing w:val="4"/>
          <w:szCs w:val="21"/>
        </w:rPr>
        <w:t>本项目签订的标前《技术要求协议》，中标后签订的《技术协议》（如有）《廉政合同》《保密协议》等均为一式四份，经双方签字后，随设备《订购合同》一起生效，由甲乙双方签字、盖章的正本一式四份，双方各执二份；</w:t>
      </w:r>
    </w:p>
    <w:p w14:paraId="03269FC3">
      <w:pPr>
        <w:numPr>
          <w:ilvl w:val="2"/>
          <w:numId w:val="42"/>
        </w:numPr>
        <w:overflowPunct w:val="0"/>
        <w:rPr>
          <w:rFonts w:ascii="宋体" w:hAnsi="宋体" w:cs="宋体"/>
          <w:spacing w:val="4"/>
          <w:szCs w:val="21"/>
        </w:rPr>
      </w:pPr>
      <w:r>
        <w:rPr>
          <w:rFonts w:hint="eastAsia" w:ascii="宋体" w:hAnsi="宋体" w:cs="宋体"/>
          <w:spacing w:val="4"/>
          <w:szCs w:val="21"/>
        </w:rPr>
        <w:t>《订购合同》每页需要甲乙双方法人或授权代表签字，每页都要。</w:t>
      </w:r>
    </w:p>
    <w:p w14:paraId="217795AD">
      <w:pPr>
        <w:numPr>
          <w:ilvl w:val="2"/>
          <w:numId w:val="42"/>
        </w:numPr>
        <w:overflowPunct w:val="0"/>
        <w:rPr>
          <w:rFonts w:ascii="宋体" w:hAnsi="宋体" w:cs="宋体"/>
          <w:spacing w:val="4"/>
          <w:szCs w:val="21"/>
        </w:rPr>
      </w:pPr>
      <w:r>
        <w:rPr>
          <w:rFonts w:hint="eastAsia" w:ascii="宋体" w:hAnsi="宋体" w:cs="宋体"/>
          <w:spacing w:val="4"/>
          <w:szCs w:val="21"/>
        </w:rPr>
        <w:t>未尽事宜，双方协商解决；</w:t>
      </w:r>
    </w:p>
    <w:p w14:paraId="01D391C8">
      <w:pPr>
        <w:numPr>
          <w:ilvl w:val="1"/>
          <w:numId w:val="42"/>
        </w:numPr>
        <w:overflowPunct w:val="0"/>
        <w:rPr>
          <w:rFonts w:ascii="宋体" w:hAnsi="宋体" w:cs="宋体"/>
          <w:b/>
          <w:bCs/>
          <w:spacing w:val="4"/>
          <w:szCs w:val="21"/>
        </w:rPr>
      </w:pPr>
      <w:r>
        <w:rPr>
          <w:rFonts w:hint="eastAsia" w:ascii="宋体" w:hAnsi="宋体" w:cs="宋体"/>
          <w:b/>
          <w:bCs/>
          <w:spacing w:val="4"/>
          <w:szCs w:val="21"/>
        </w:rPr>
        <w:t>说明</w:t>
      </w:r>
    </w:p>
    <w:p w14:paraId="7845C702">
      <w:pPr>
        <w:numPr>
          <w:ilvl w:val="2"/>
          <w:numId w:val="42"/>
        </w:numPr>
        <w:overflowPunct w:val="0"/>
        <w:rPr>
          <w:rFonts w:ascii="宋体" w:hAnsi="宋体" w:cs="宋体"/>
          <w:b/>
          <w:bCs/>
          <w:spacing w:val="4"/>
          <w:szCs w:val="21"/>
        </w:rPr>
      </w:pPr>
      <w:r>
        <w:rPr>
          <w:rFonts w:hint="eastAsia" w:ascii="宋体" w:hAnsi="宋体" w:cs="宋体"/>
          <w:b/>
          <w:bCs/>
          <w:spacing w:val="4"/>
          <w:szCs w:val="21"/>
        </w:rPr>
        <w:t>投标单位应对第三部分《技术要求》中的技术条款作一对一应答，不得仅以“符合”、“满足”等词语作简单回答，否则评标委员会将有权视作不响应。</w:t>
      </w:r>
    </w:p>
    <w:p w14:paraId="4476287D">
      <w:pPr>
        <w:numPr>
          <w:ilvl w:val="2"/>
          <w:numId w:val="42"/>
        </w:numPr>
        <w:overflowPunct w:val="0"/>
        <w:rPr>
          <w:rFonts w:ascii="宋体" w:hAnsi="宋体" w:cs="宋体"/>
          <w:b/>
          <w:bCs/>
          <w:spacing w:val="4"/>
          <w:szCs w:val="21"/>
        </w:rPr>
      </w:pPr>
      <w:r>
        <w:rPr>
          <w:rFonts w:hint="eastAsia" w:ascii="宋体" w:hAnsi="宋体" w:cs="宋体"/>
          <w:b/>
          <w:bCs/>
          <w:spacing w:val="4"/>
          <w:szCs w:val="21"/>
        </w:rPr>
        <w:t xml:space="preserve">对标注带有“★” 号的为关键条款，带 “★” 条款只要偏离一项则判定该单位为“无效投标”，如有投标方无效投标后导致评标单位少于3家，则本标的作废标处理。在投标文件中若发现有虚假信息，将导致废标。 </w:t>
      </w:r>
    </w:p>
    <w:p w14:paraId="5B0F52DB">
      <w:pPr>
        <w:numPr>
          <w:ilvl w:val="-1"/>
          <w:numId w:val="0"/>
        </w:numPr>
        <w:overflowPunct w:val="0"/>
        <w:ind w:left="0" w:firstLine="0"/>
        <w:rPr>
          <w:rFonts w:hint="eastAsia" w:ascii="宋体" w:hAnsi="宋体" w:cs="宋体"/>
          <w:b/>
          <w:bCs/>
          <w:spacing w:val="4"/>
          <w:szCs w:val="21"/>
        </w:rPr>
      </w:pPr>
      <w:r>
        <w:rPr>
          <w:rFonts w:hint="eastAsia" w:ascii="宋体" w:hAnsi="宋体" w:cs="宋体"/>
          <w:b/>
          <w:bCs/>
          <w:spacing w:val="4"/>
          <w:szCs w:val="21"/>
        </w:rPr>
        <w:t xml:space="preserve"> </w:t>
      </w:r>
    </w:p>
    <w:p w14:paraId="6B5E102C">
      <w:pPr>
        <w:jc w:val="both"/>
        <w:outlineLvl w:val="0"/>
        <w:rPr>
          <w:rFonts w:hint="eastAsia" w:ascii="宋体" w:hAnsi="宋体" w:cs="宋体"/>
          <w:b/>
          <w:bCs/>
          <w:sz w:val="32"/>
        </w:rPr>
      </w:pPr>
      <w:r>
        <w:rPr>
          <w:rFonts w:hint="eastAsia" w:ascii="宋体" w:hAnsi="宋体" w:cs="宋体"/>
          <w:b/>
          <w:bCs/>
          <w:szCs w:val="21"/>
        </w:rPr>
        <w:br w:type="page"/>
      </w:r>
      <w:bookmarkStart w:id="32" w:name="_Toc10431"/>
      <w:bookmarkStart w:id="33" w:name="_Toc8026"/>
      <w:bookmarkStart w:id="34" w:name="_Toc5922"/>
      <w:bookmarkStart w:id="35" w:name="_Toc12907"/>
      <w:bookmarkStart w:id="36" w:name="_Toc32684"/>
      <w:bookmarkStart w:id="37" w:name="_Toc12452"/>
      <w:bookmarkStart w:id="38" w:name="_Toc13544"/>
      <w:bookmarkStart w:id="39" w:name="_Toc2097"/>
      <w:bookmarkStart w:id="40" w:name="_Toc28419"/>
      <w:bookmarkStart w:id="41" w:name="_Toc16365"/>
      <w:r>
        <w:rPr>
          <w:rFonts w:hint="eastAsia" w:ascii="宋体" w:hAnsi="宋体" w:cs="宋体"/>
          <w:b/>
          <w:bCs/>
          <w:sz w:val="32"/>
        </w:rPr>
        <w:t>第四章 合同特殊条款</w:t>
      </w:r>
      <w:bookmarkEnd w:id="32"/>
      <w:bookmarkEnd w:id="33"/>
      <w:bookmarkEnd w:id="34"/>
      <w:bookmarkEnd w:id="35"/>
      <w:bookmarkEnd w:id="36"/>
      <w:bookmarkEnd w:id="37"/>
      <w:bookmarkEnd w:id="38"/>
      <w:bookmarkEnd w:id="39"/>
      <w:bookmarkEnd w:id="40"/>
      <w:bookmarkEnd w:id="41"/>
    </w:p>
    <w:p w14:paraId="129F69EA">
      <w:pPr>
        <w:overflowPunct w:val="0"/>
        <w:snapToGrid w:val="0"/>
        <w:rPr>
          <w:rFonts w:hint="eastAsia" w:ascii="宋体" w:hAnsi="宋体" w:cs="宋体"/>
        </w:rPr>
      </w:pPr>
    </w:p>
    <w:p w14:paraId="08AEE84A">
      <w:pPr>
        <w:numPr>
          <w:ilvl w:val="1"/>
          <w:numId w:val="43"/>
        </w:numPr>
        <w:overflowPunct w:val="0"/>
        <w:rPr>
          <w:rFonts w:hint="eastAsia" w:ascii="宋体" w:hAnsi="宋体" w:cs="宋体"/>
          <w:spacing w:val="4"/>
          <w:szCs w:val="21"/>
        </w:rPr>
      </w:pPr>
      <w:r>
        <w:rPr>
          <w:rFonts w:hint="eastAsia" w:ascii="宋体" w:hAnsi="宋体" w:cs="宋体"/>
          <w:spacing w:val="4"/>
          <w:szCs w:val="21"/>
        </w:rPr>
        <w:t>价格条件：甲方工厂</w:t>
      </w:r>
    </w:p>
    <w:p w14:paraId="39120DCA">
      <w:pPr>
        <w:numPr>
          <w:ilvl w:val="1"/>
          <w:numId w:val="43"/>
        </w:numPr>
        <w:overflowPunct w:val="0"/>
        <w:rPr>
          <w:rFonts w:hint="eastAsia" w:ascii="宋体" w:hAnsi="宋体" w:cs="宋体"/>
          <w:spacing w:val="4"/>
          <w:szCs w:val="21"/>
        </w:rPr>
      </w:pPr>
      <w:r>
        <w:rPr>
          <w:rFonts w:hint="eastAsia" w:ascii="宋体" w:hAnsi="宋体" w:cs="宋体"/>
          <w:spacing w:val="4"/>
          <w:szCs w:val="21"/>
        </w:rPr>
        <w:t>付款方式</w:t>
      </w:r>
    </w:p>
    <w:p w14:paraId="04A7CCFD">
      <w:pPr>
        <w:numPr>
          <w:ilvl w:val="2"/>
          <w:numId w:val="43"/>
        </w:numPr>
        <w:tabs>
          <w:tab w:val="left" w:pos="420"/>
          <w:tab w:val="clear" w:pos="720"/>
        </w:tabs>
        <w:overflowPunct w:val="0"/>
        <w:ind w:left="420" w:firstLine="0"/>
        <w:rPr>
          <w:rFonts w:hint="eastAsia" w:ascii="宋体" w:hAnsi="宋体" w:cs="宋体"/>
          <w:spacing w:val="4"/>
          <w:szCs w:val="21"/>
        </w:rPr>
      </w:pPr>
      <w:r>
        <w:rPr>
          <w:rFonts w:hint="eastAsia" w:ascii="宋体" w:hAnsi="宋体" w:cs="宋体"/>
          <w:b/>
          <w:bCs/>
          <w:spacing w:val="4"/>
          <w:szCs w:val="21"/>
        </w:rPr>
        <w:t>合同总价的30%预付款</w:t>
      </w:r>
      <w:r>
        <w:rPr>
          <w:rFonts w:hint="eastAsia" w:ascii="宋体" w:hAnsi="宋体" w:cs="宋体"/>
          <w:spacing w:val="4"/>
          <w:szCs w:val="21"/>
        </w:rPr>
        <w:t>，合同签订后5天内，由甲方支付给乙方。</w:t>
      </w:r>
    </w:p>
    <w:p w14:paraId="346FA7C7">
      <w:pPr>
        <w:numPr>
          <w:ilvl w:val="2"/>
          <w:numId w:val="43"/>
        </w:numPr>
        <w:tabs>
          <w:tab w:val="left" w:pos="420"/>
          <w:tab w:val="clear" w:pos="720"/>
        </w:tabs>
        <w:overflowPunct w:val="0"/>
        <w:ind w:left="420" w:firstLine="0"/>
        <w:rPr>
          <w:rFonts w:hint="eastAsia" w:ascii="宋体" w:hAnsi="宋体" w:cs="宋体"/>
          <w:spacing w:val="4"/>
          <w:szCs w:val="21"/>
        </w:rPr>
      </w:pPr>
      <w:r>
        <w:rPr>
          <w:rFonts w:hint="eastAsia" w:ascii="宋体" w:hAnsi="宋体" w:cs="宋体"/>
          <w:b/>
          <w:bCs/>
          <w:spacing w:val="4"/>
          <w:szCs w:val="21"/>
        </w:rPr>
        <w:t>合同总价的30%发货款</w:t>
      </w:r>
      <w:r>
        <w:rPr>
          <w:rFonts w:hint="eastAsia" w:ascii="宋体" w:hAnsi="宋体" w:cs="宋体"/>
          <w:spacing w:val="4"/>
          <w:szCs w:val="21"/>
        </w:rPr>
        <w:t>，在设备预验收阶段，在发货前5天内，由甲方支付给乙方。</w:t>
      </w:r>
    </w:p>
    <w:p w14:paraId="3A845B07">
      <w:pPr>
        <w:numPr>
          <w:ilvl w:val="2"/>
          <w:numId w:val="43"/>
        </w:numPr>
        <w:tabs>
          <w:tab w:val="left" w:pos="420"/>
          <w:tab w:val="clear" w:pos="720"/>
        </w:tabs>
        <w:overflowPunct w:val="0"/>
        <w:ind w:left="420" w:firstLine="0"/>
        <w:rPr>
          <w:rFonts w:hint="eastAsia" w:ascii="宋体" w:hAnsi="宋体" w:cs="宋体"/>
          <w:spacing w:val="4"/>
          <w:szCs w:val="21"/>
        </w:rPr>
      </w:pPr>
      <w:r>
        <w:rPr>
          <w:rFonts w:hint="eastAsia" w:ascii="宋体" w:hAnsi="宋体" w:cs="宋体"/>
          <w:b/>
          <w:bCs/>
          <w:spacing w:val="4"/>
          <w:szCs w:val="21"/>
        </w:rPr>
        <w:t>合同总价的30%验收款</w:t>
      </w:r>
      <w:r>
        <w:rPr>
          <w:rFonts w:hint="eastAsia" w:ascii="宋体" w:hAnsi="宋体" w:cs="宋体"/>
          <w:spacing w:val="4"/>
          <w:szCs w:val="21"/>
        </w:rPr>
        <w:t>，在设备安装调试完成，签发终验收纪要完成后2周内，由甲方支付给乙方。支付前，甲方必须收到乙方提交的下列内容：</w:t>
      </w:r>
    </w:p>
    <w:p w14:paraId="02A4FE4D">
      <w:pPr>
        <w:numPr>
          <w:ilvl w:val="3"/>
          <w:numId w:val="43"/>
        </w:numPr>
        <w:tabs>
          <w:tab w:val="left" w:pos="840"/>
          <w:tab w:val="clear" w:pos="1080"/>
        </w:tabs>
        <w:overflowPunct w:val="0"/>
        <w:ind w:left="840" w:firstLine="0"/>
        <w:rPr>
          <w:rFonts w:hint="eastAsia" w:ascii="宋体" w:hAnsi="宋体" w:cs="宋体"/>
          <w:spacing w:val="4"/>
          <w:szCs w:val="21"/>
        </w:rPr>
      </w:pPr>
      <w:r>
        <w:rPr>
          <w:rFonts w:hint="eastAsia" w:ascii="宋体" w:hAnsi="宋体" w:cs="宋体"/>
          <w:spacing w:val="4"/>
          <w:szCs w:val="21"/>
        </w:rPr>
        <w:t>设备最终验收合格证书的正本；</w:t>
      </w:r>
    </w:p>
    <w:p w14:paraId="0EBC92E3">
      <w:pPr>
        <w:numPr>
          <w:ilvl w:val="3"/>
          <w:numId w:val="43"/>
        </w:numPr>
        <w:tabs>
          <w:tab w:val="left" w:pos="840"/>
          <w:tab w:val="clear" w:pos="1080"/>
        </w:tabs>
        <w:overflowPunct w:val="0"/>
        <w:ind w:left="840" w:firstLine="0"/>
        <w:rPr>
          <w:rFonts w:hint="eastAsia" w:ascii="宋体" w:hAnsi="宋体" w:cs="宋体"/>
          <w:spacing w:val="4"/>
          <w:szCs w:val="21"/>
        </w:rPr>
      </w:pPr>
      <w:r>
        <w:rPr>
          <w:rFonts w:hint="eastAsia" w:ascii="宋体" w:hAnsi="宋体" w:cs="宋体"/>
          <w:spacing w:val="4"/>
          <w:szCs w:val="21"/>
        </w:rPr>
        <w:t>收到乙方向甲方开具税率为13%货物总价全额的发票增值税专用发票；</w:t>
      </w:r>
    </w:p>
    <w:p w14:paraId="735BC9CF">
      <w:pPr>
        <w:numPr>
          <w:ilvl w:val="3"/>
          <w:numId w:val="43"/>
        </w:numPr>
        <w:tabs>
          <w:tab w:val="left" w:pos="840"/>
          <w:tab w:val="clear" w:pos="1080"/>
        </w:tabs>
        <w:overflowPunct w:val="0"/>
        <w:ind w:left="840" w:firstLine="0"/>
        <w:rPr>
          <w:rFonts w:hint="eastAsia" w:ascii="宋体" w:hAnsi="宋体" w:cs="宋体"/>
          <w:spacing w:val="4"/>
          <w:szCs w:val="21"/>
        </w:rPr>
      </w:pPr>
      <w:r>
        <w:rPr>
          <w:rFonts w:hint="eastAsia" w:ascii="宋体" w:hAnsi="宋体" w:cs="宋体"/>
          <w:spacing w:val="4"/>
          <w:szCs w:val="21"/>
        </w:rPr>
        <w:t>机床随机全套资料；</w:t>
      </w:r>
    </w:p>
    <w:p w14:paraId="2359F5A6">
      <w:pPr>
        <w:numPr>
          <w:ilvl w:val="2"/>
          <w:numId w:val="43"/>
        </w:numPr>
        <w:tabs>
          <w:tab w:val="left" w:pos="420"/>
          <w:tab w:val="clear" w:pos="720"/>
        </w:tabs>
        <w:overflowPunct w:val="0"/>
        <w:ind w:left="420" w:firstLine="0"/>
        <w:rPr>
          <w:rFonts w:hint="eastAsia" w:ascii="宋体" w:hAnsi="宋体" w:cs="宋体"/>
          <w:spacing w:val="4"/>
          <w:szCs w:val="21"/>
        </w:rPr>
      </w:pPr>
      <w:r>
        <w:rPr>
          <w:rFonts w:hint="eastAsia" w:ascii="宋体" w:hAnsi="宋体" w:cs="宋体"/>
          <w:spacing w:val="4"/>
          <w:szCs w:val="21"/>
        </w:rPr>
        <w:t>合同总价的10%货款，在12个月</w:t>
      </w:r>
      <w:r>
        <w:rPr>
          <w:rFonts w:hint="eastAsia" w:ascii="宋体" w:hAnsi="宋体" w:cs="宋体"/>
          <w:szCs w:val="21"/>
        </w:rPr>
        <w:t>保修期或质保期</w:t>
      </w:r>
      <w:r>
        <w:rPr>
          <w:rFonts w:hint="eastAsia" w:ascii="宋体" w:hAnsi="宋体" w:cs="宋体"/>
          <w:spacing w:val="4"/>
          <w:szCs w:val="21"/>
        </w:rPr>
        <w:t>满后由甲方支付给乙方；</w:t>
      </w:r>
    </w:p>
    <w:p w14:paraId="4D31A710">
      <w:pPr>
        <w:numPr>
          <w:ilvl w:val="2"/>
          <w:numId w:val="43"/>
        </w:numPr>
        <w:tabs>
          <w:tab w:val="left" w:pos="420"/>
          <w:tab w:val="clear" w:pos="720"/>
        </w:tabs>
        <w:overflowPunct w:val="0"/>
        <w:ind w:left="420" w:firstLine="0"/>
        <w:rPr>
          <w:rFonts w:hint="eastAsia" w:ascii="宋体" w:hAnsi="宋体" w:cs="宋体"/>
          <w:spacing w:val="4"/>
          <w:szCs w:val="21"/>
        </w:rPr>
      </w:pPr>
      <w:r>
        <w:rPr>
          <w:rFonts w:hint="eastAsia" w:ascii="宋体" w:hAnsi="宋体" w:cs="宋体"/>
          <w:spacing w:val="4"/>
          <w:szCs w:val="21"/>
        </w:rPr>
        <w:t>本合同以人民币结算</w:t>
      </w:r>
      <w:r>
        <w:rPr>
          <w:rFonts w:hint="eastAsia" w:ascii="宋体" w:hAnsi="宋体" w:cs="宋体"/>
          <w:szCs w:val="21"/>
        </w:rPr>
        <w:t>总价款，且为含税价</w:t>
      </w:r>
      <w:r>
        <w:rPr>
          <w:rFonts w:hint="eastAsia" w:ascii="宋体" w:hAnsi="宋体" w:cs="宋体"/>
          <w:spacing w:val="4"/>
          <w:szCs w:val="21"/>
        </w:rPr>
        <w:t>；</w:t>
      </w:r>
    </w:p>
    <w:p w14:paraId="04E2EEC7">
      <w:pPr>
        <w:numPr>
          <w:ilvl w:val="2"/>
          <w:numId w:val="43"/>
        </w:numPr>
        <w:tabs>
          <w:tab w:val="left" w:pos="420"/>
          <w:tab w:val="clear" w:pos="720"/>
        </w:tabs>
        <w:overflowPunct w:val="0"/>
        <w:ind w:left="420" w:firstLine="0"/>
        <w:rPr>
          <w:rFonts w:hint="eastAsia" w:ascii="宋体" w:hAnsi="宋体" w:cs="宋体"/>
          <w:spacing w:val="4"/>
          <w:szCs w:val="21"/>
          <w:highlight w:val="none"/>
        </w:rPr>
      </w:pPr>
      <w:r>
        <w:rPr>
          <w:rFonts w:hint="eastAsia" w:ascii="宋体" w:hAnsi="宋体" w:cs="宋体"/>
          <w:spacing w:val="4"/>
          <w:szCs w:val="21"/>
        </w:rPr>
        <w:t>合同总价款由现汇支付；</w:t>
      </w:r>
    </w:p>
    <w:p w14:paraId="10EEF33B">
      <w:pPr>
        <w:numPr>
          <w:ilvl w:val="1"/>
          <w:numId w:val="43"/>
        </w:numPr>
        <w:overflowPunct w:val="0"/>
        <w:rPr>
          <w:rFonts w:hint="eastAsia" w:ascii="宋体" w:hAnsi="宋体" w:cs="宋体"/>
          <w:spacing w:val="4"/>
          <w:szCs w:val="21"/>
        </w:rPr>
      </w:pPr>
      <w:r>
        <w:rPr>
          <w:rFonts w:hint="eastAsia" w:ascii="宋体" w:hAnsi="宋体" w:cs="宋体"/>
          <w:spacing w:val="4"/>
          <w:szCs w:val="21"/>
          <w:highlight w:val="none"/>
        </w:rPr>
        <w:t>交货时间：</w:t>
      </w:r>
      <w:r>
        <w:rPr>
          <w:rFonts w:hint="eastAsia" w:ascii="宋体" w:hAnsi="宋体" w:cs="宋体"/>
          <w:b/>
          <w:bCs/>
          <w:spacing w:val="4"/>
          <w:szCs w:val="21"/>
          <w:highlight w:val="none"/>
        </w:rPr>
        <w:t>自合同签订之日起</w:t>
      </w:r>
      <w:r>
        <w:rPr>
          <w:rFonts w:hint="eastAsia" w:ascii="宋体" w:hAnsi="宋体" w:cs="宋体"/>
          <w:b/>
          <w:bCs/>
          <w:spacing w:val="4"/>
          <w:szCs w:val="21"/>
          <w:highlight w:val="none"/>
          <w:lang w:val="en-US" w:eastAsia="zh-CN"/>
        </w:rPr>
        <w:t>3个月</w:t>
      </w:r>
      <w:r>
        <w:rPr>
          <w:rFonts w:hint="eastAsia" w:ascii="宋体" w:hAnsi="宋体" w:cs="宋体"/>
          <w:b/>
          <w:bCs/>
          <w:spacing w:val="4"/>
          <w:szCs w:val="21"/>
          <w:highlight w:val="none"/>
        </w:rPr>
        <w:t>内；</w:t>
      </w:r>
    </w:p>
    <w:p w14:paraId="39F5D4FB">
      <w:pPr>
        <w:numPr>
          <w:ilvl w:val="1"/>
          <w:numId w:val="43"/>
        </w:numPr>
        <w:overflowPunct w:val="0"/>
        <w:rPr>
          <w:rFonts w:hint="eastAsia" w:ascii="宋体" w:hAnsi="宋体" w:cs="宋体"/>
          <w:spacing w:val="4"/>
          <w:szCs w:val="21"/>
        </w:rPr>
      </w:pPr>
      <w:r>
        <w:rPr>
          <w:rFonts w:hint="eastAsia" w:ascii="宋体" w:hAnsi="宋体" w:cs="宋体"/>
          <w:spacing w:val="4"/>
          <w:szCs w:val="21"/>
        </w:rPr>
        <w:t>备品备件：备品备件要确保供应，并保证其有效性和持续性。</w:t>
      </w:r>
    </w:p>
    <w:p w14:paraId="26F88404">
      <w:pPr>
        <w:numPr>
          <w:ilvl w:val="1"/>
          <w:numId w:val="43"/>
        </w:numPr>
        <w:overflowPunct w:val="0"/>
        <w:rPr>
          <w:rFonts w:hint="eastAsia" w:ascii="宋体" w:hAnsi="宋体" w:cs="宋体"/>
          <w:spacing w:val="4"/>
          <w:szCs w:val="21"/>
        </w:rPr>
      </w:pPr>
      <w:r>
        <w:rPr>
          <w:rFonts w:hint="eastAsia" w:ascii="宋体" w:hAnsi="宋体" w:cs="宋体"/>
          <w:spacing w:val="4"/>
          <w:szCs w:val="21"/>
        </w:rPr>
        <w:t>技术文件：乙方应提供必要的技术文件，除第三章《技术要求》中已要求的技术文件之外，凡涉及安装、使用、维修保养、环保、安全、消防等方面所需要的文件乙方均应负责提供或补充。</w:t>
      </w:r>
    </w:p>
    <w:p w14:paraId="26ED5756">
      <w:pPr>
        <w:numPr>
          <w:ilvl w:val="1"/>
          <w:numId w:val="43"/>
        </w:numPr>
        <w:overflowPunct w:val="0"/>
        <w:rPr>
          <w:rFonts w:hint="eastAsia" w:ascii="宋体" w:hAnsi="宋体" w:cs="宋体"/>
          <w:b/>
          <w:bCs/>
          <w:spacing w:val="4"/>
          <w:szCs w:val="21"/>
        </w:rPr>
      </w:pPr>
      <w:r>
        <w:rPr>
          <w:rFonts w:hint="eastAsia" w:ascii="宋体" w:hAnsi="宋体" w:cs="宋体"/>
          <w:b/>
          <w:bCs/>
          <w:spacing w:val="4"/>
          <w:szCs w:val="21"/>
        </w:rPr>
        <w:t>合同签订时，甲方签约单位名称为：加西贝拉压缩机有限公司。</w:t>
      </w:r>
    </w:p>
    <w:p w14:paraId="7A3C3576">
      <w:pPr>
        <w:numPr>
          <w:ilvl w:val="1"/>
          <w:numId w:val="43"/>
        </w:numPr>
        <w:overflowPunct w:val="0"/>
        <w:rPr>
          <w:rFonts w:hint="eastAsia" w:ascii="宋体" w:hAnsi="宋体" w:cs="宋体"/>
          <w:spacing w:val="4"/>
          <w:szCs w:val="21"/>
        </w:rPr>
      </w:pPr>
      <w:r>
        <w:rPr>
          <w:rFonts w:hint="eastAsia" w:ascii="宋体" w:hAnsi="宋体" w:cs="宋体"/>
          <w:spacing w:val="4"/>
          <w:szCs w:val="21"/>
        </w:rPr>
        <w:t>其他未尽事宜待中标后协商解决。</w:t>
      </w:r>
    </w:p>
    <w:p w14:paraId="72DBEB0C">
      <w:pPr>
        <w:overflowPunct w:val="0"/>
        <w:jc w:val="center"/>
        <w:rPr>
          <w:rFonts w:hint="eastAsia" w:ascii="宋体" w:hAnsi="宋体" w:cs="宋体"/>
          <w:b/>
          <w:bCs/>
          <w:sz w:val="32"/>
          <w:szCs w:val="32"/>
        </w:rPr>
        <w:sectPr>
          <w:pgSz w:w="11906" w:h="16838"/>
          <w:pgMar w:top="1247" w:right="1134" w:bottom="993" w:left="1134" w:header="851" w:footer="992" w:gutter="0"/>
          <w:cols w:space="720" w:num="1"/>
          <w:docGrid w:type="lines" w:linePitch="312" w:charSpace="0"/>
        </w:sectPr>
      </w:pPr>
    </w:p>
    <w:p w14:paraId="79D51CDF">
      <w:pPr>
        <w:overflowPunct w:val="0"/>
        <w:jc w:val="center"/>
        <w:outlineLvl w:val="0"/>
        <w:rPr>
          <w:rFonts w:hint="eastAsia" w:ascii="宋体" w:hAnsi="宋体" w:cs="宋体"/>
          <w:b/>
          <w:bCs/>
          <w:sz w:val="32"/>
        </w:rPr>
      </w:pPr>
      <w:bookmarkStart w:id="42" w:name="_Toc30798"/>
      <w:bookmarkStart w:id="43" w:name="_Toc2748"/>
      <w:bookmarkStart w:id="44" w:name="_Toc1460"/>
      <w:bookmarkStart w:id="45" w:name="_Toc19739"/>
      <w:bookmarkStart w:id="46" w:name="_Toc5065"/>
      <w:bookmarkStart w:id="47" w:name="_Toc25684"/>
      <w:bookmarkStart w:id="48" w:name="_Toc3772"/>
      <w:bookmarkStart w:id="49" w:name="_Toc2312"/>
      <w:bookmarkStart w:id="50" w:name="_Toc3405"/>
      <w:bookmarkStart w:id="51" w:name="_Toc21273"/>
      <w:r>
        <w:rPr>
          <w:rFonts w:hint="eastAsia" w:ascii="宋体" w:hAnsi="宋体" w:cs="宋体"/>
          <w:b/>
          <w:bCs/>
          <w:sz w:val="32"/>
          <w:szCs w:val="32"/>
        </w:rPr>
        <w:t>附 件</w:t>
      </w:r>
      <w:bookmarkEnd w:id="42"/>
      <w:bookmarkEnd w:id="43"/>
      <w:bookmarkEnd w:id="44"/>
      <w:bookmarkEnd w:id="45"/>
      <w:bookmarkEnd w:id="46"/>
      <w:bookmarkEnd w:id="47"/>
      <w:bookmarkEnd w:id="48"/>
      <w:bookmarkEnd w:id="49"/>
      <w:bookmarkEnd w:id="50"/>
      <w:bookmarkEnd w:id="51"/>
    </w:p>
    <w:p w14:paraId="7FC19E67">
      <w:pPr>
        <w:overflowPunct w:val="0"/>
        <w:outlineLvl w:val="0"/>
        <w:rPr>
          <w:rFonts w:hint="eastAsia" w:ascii="宋体" w:hAnsi="宋体" w:cs="宋体"/>
          <w:b/>
          <w:bCs/>
        </w:rPr>
      </w:pPr>
      <w:bookmarkStart w:id="52" w:name="_Toc18157"/>
      <w:bookmarkStart w:id="53" w:name="_Toc11163"/>
      <w:bookmarkStart w:id="54" w:name="_Toc7878"/>
      <w:bookmarkStart w:id="55" w:name="_Toc29371"/>
      <w:bookmarkStart w:id="56" w:name="_Toc28136"/>
      <w:bookmarkStart w:id="57" w:name="_Toc7499"/>
      <w:bookmarkStart w:id="58" w:name="_Toc11393"/>
      <w:bookmarkStart w:id="59" w:name="_Toc7462"/>
      <w:bookmarkStart w:id="60" w:name="_Toc27811"/>
      <w:bookmarkStart w:id="61" w:name="_Toc7394"/>
      <w:r>
        <w:rPr>
          <w:rFonts w:hint="eastAsia" w:ascii="宋体" w:hAnsi="宋体" w:cs="宋体"/>
          <w:b/>
          <w:spacing w:val="4"/>
          <w:sz w:val="28"/>
        </w:rPr>
        <w:t>附表A ：供货范围表</w:t>
      </w:r>
      <w:bookmarkEnd w:id="52"/>
      <w:bookmarkEnd w:id="53"/>
      <w:bookmarkEnd w:id="54"/>
      <w:bookmarkEnd w:id="55"/>
      <w:bookmarkEnd w:id="56"/>
      <w:bookmarkEnd w:id="57"/>
      <w:bookmarkEnd w:id="58"/>
      <w:bookmarkEnd w:id="59"/>
      <w:bookmarkEnd w:id="60"/>
      <w:bookmarkEnd w:id="61"/>
    </w:p>
    <w:p w14:paraId="41E6DE50">
      <w:pPr>
        <w:numPr>
          <w:ilvl w:val="0"/>
          <w:numId w:val="44"/>
        </w:numPr>
        <w:tabs>
          <w:tab w:val="clear" w:pos="615"/>
        </w:tabs>
        <w:overflowPunct w:val="0"/>
        <w:ind w:left="194" w:hanging="194" w:hangingChars="89"/>
        <w:rPr>
          <w:rFonts w:hint="eastAsia" w:ascii="宋体" w:hAnsi="宋体" w:cs="宋体"/>
          <w:spacing w:val="4"/>
        </w:rPr>
      </w:pPr>
      <w:r>
        <w:rPr>
          <w:rFonts w:hint="eastAsia" w:ascii="宋体" w:hAnsi="宋体" w:cs="宋体"/>
          <w:spacing w:val="4"/>
        </w:rPr>
        <w:t>一般要求</w:t>
      </w:r>
    </w:p>
    <w:p w14:paraId="50EB7782">
      <w:pPr>
        <w:numPr>
          <w:ilvl w:val="1"/>
          <w:numId w:val="45"/>
        </w:numPr>
        <w:overflowPunct w:val="0"/>
        <w:rPr>
          <w:rFonts w:hint="eastAsia" w:ascii="宋体" w:hAnsi="宋体" w:cs="宋体"/>
          <w:spacing w:val="4"/>
        </w:rPr>
      </w:pPr>
      <w:r>
        <w:rPr>
          <w:rFonts w:hint="eastAsia" w:ascii="宋体" w:hAnsi="宋体" w:cs="宋体"/>
          <w:spacing w:val="4"/>
        </w:rPr>
        <w:t>本附件规定了合同设备的供货范围。乙方保证提供设备为全新的、先进的、成熟的、完整的和安全可靠的，且设备的技术经济性能符合第三章《技术要求》中所列的要求。</w:t>
      </w:r>
    </w:p>
    <w:p w14:paraId="745484E6">
      <w:pPr>
        <w:numPr>
          <w:ilvl w:val="1"/>
          <w:numId w:val="45"/>
        </w:numPr>
        <w:overflowPunct w:val="0"/>
        <w:rPr>
          <w:rFonts w:hint="eastAsia" w:ascii="宋体" w:hAnsi="宋体" w:cs="宋体"/>
          <w:spacing w:val="4"/>
        </w:rPr>
      </w:pPr>
      <w:r>
        <w:rPr>
          <w:rFonts w:hint="eastAsia" w:ascii="宋体" w:hAnsi="宋体" w:cs="宋体"/>
          <w:spacing w:val="4"/>
        </w:rPr>
        <w:t>乙方应提供详细供货清单，包括主机、配套设备及专用工具、随机备品备件等，清单中依次说明名称、规格和型号、数量、制造商等内容。</w:t>
      </w:r>
    </w:p>
    <w:p w14:paraId="697B611D">
      <w:pPr>
        <w:numPr>
          <w:ilvl w:val="0"/>
          <w:numId w:val="44"/>
        </w:numPr>
        <w:tabs>
          <w:tab w:val="clear" w:pos="615"/>
        </w:tabs>
        <w:overflowPunct w:val="0"/>
        <w:ind w:left="0" w:firstLine="0"/>
        <w:rPr>
          <w:rFonts w:hint="eastAsia" w:ascii="宋体" w:hAnsi="宋体" w:cs="宋体"/>
          <w:spacing w:val="4"/>
        </w:rPr>
      </w:pPr>
      <w:r>
        <w:rPr>
          <w:rFonts w:hint="eastAsia" w:ascii="宋体" w:hAnsi="宋体" w:cs="宋体"/>
          <w:spacing w:val="4"/>
        </w:rPr>
        <w:t>供货范围表</w:t>
      </w:r>
    </w:p>
    <w:tbl>
      <w:tblPr>
        <w:tblStyle w:val="44"/>
        <w:tblW w:w="0" w:type="auto"/>
        <w:tblInd w:w="44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3"/>
        <w:gridCol w:w="1283"/>
        <w:gridCol w:w="1452"/>
        <w:gridCol w:w="1115"/>
        <w:gridCol w:w="1283"/>
        <w:gridCol w:w="1283"/>
        <w:gridCol w:w="1284"/>
      </w:tblGrid>
      <w:tr w14:paraId="238F6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trPr>
        <w:tc>
          <w:tcPr>
            <w:tcW w:w="863" w:type="dxa"/>
            <w:noWrap/>
            <w:vAlign w:val="center"/>
          </w:tcPr>
          <w:p w14:paraId="3D499597">
            <w:pPr>
              <w:overflowPunct w:val="0"/>
              <w:jc w:val="center"/>
              <w:rPr>
                <w:rFonts w:hint="eastAsia" w:ascii="宋体" w:hAnsi="宋体" w:cs="宋体"/>
                <w:spacing w:val="4"/>
                <w:sz w:val="18"/>
                <w:szCs w:val="21"/>
              </w:rPr>
            </w:pPr>
            <w:r>
              <w:rPr>
                <w:rFonts w:hint="eastAsia" w:ascii="宋体" w:hAnsi="宋体" w:cs="宋体"/>
                <w:spacing w:val="4"/>
                <w:sz w:val="18"/>
                <w:szCs w:val="21"/>
              </w:rPr>
              <w:t>序号</w:t>
            </w:r>
          </w:p>
        </w:tc>
        <w:tc>
          <w:tcPr>
            <w:tcW w:w="1283" w:type="dxa"/>
            <w:noWrap/>
            <w:vAlign w:val="center"/>
          </w:tcPr>
          <w:p w14:paraId="4AFC8597">
            <w:pPr>
              <w:overflowPunct w:val="0"/>
              <w:jc w:val="center"/>
              <w:rPr>
                <w:rFonts w:hint="eastAsia" w:ascii="宋体" w:hAnsi="宋体" w:cs="宋体"/>
                <w:spacing w:val="4"/>
                <w:sz w:val="18"/>
                <w:szCs w:val="21"/>
              </w:rPr>
            </w:pPr>
            <w:r>
              <w:rPr>
                <w:rFonts w:hint="eastAsia" w:ascii="宋体" w:hAnsi="宋体" w:cs="宋体"/>
                <w:spacing w:val="4"/>
                <w:sz w:val="18"/>
                <w:szCs w:val="21"/>
              </w:rPr>
              <w:t>名称</w:t>
            </w:r>
          </w:p>
        </w:tc>
        <w:tc>
          <w:tcPr>
            <w:tcW w:w="1452" w:type="dxa"/>
            <w:noWrap/>
            <w:vAlign w:val="center"/>
          </w:tcPr>
          <w:p w14:paraId="549DD37C">
            <w:pPr>
              <w:overflowPunct w:val="0"/>
              <w:jc w:val="center"/>
              <w:rPr>
                <w:rFonts w:hint="eastAsia" w:ascii="宋体" w:hAnsi="宋体" w:cs="宋体"/>
                <w:spacing w:val="4"/>
                <w:sz w:val="18"/>
                <w:szCs w:val="21"/>
              </w:rPr>
            </w:pPr>
            <w:r>
              <w:rPr>
                <w:rFonts w:hint="eastAsia" w:ascii="宋体" w:hAnsi="宋体" w:cs="宋体"/>
                <w:spacing w:val="4"/>
                <w:sz w:val="18"/>
                <w:szCs w:val="21"/>
              </w:rPr>
              <w:t>规格和型号</w:t>
            </w:r>
          </w:p>
        </w:tc>
        <w:tc>
          <w:tcPr>
            <w:tcW w:w="1115" w:type="dxa"/>
            <w:noWrap/>
            <w:vAlign w:val="center"/>
          </w:tcPr>
          <w:p w14:paraId="45C72FE3">
            <w:pPr>
              <w:overflowPunct w:val="0"/>
              <w:jc w:val="center"/>
              <w:rPr>
                <w:rFonts w:hint="eastAsia" w:ascii="宋体" w:hAnsi="宋体" w:cs="宋体"/>
                <w:spacing w:val="4"/>
                <w:sz w:val="18"/>
                <w:szCs w:val="21"/>
              </w:rPr>
            </w:pPr>
            <w:r>
              <w:rPr>
                <w:rFonts w:hint="eastAsia" w:ascii="宋体" w:hAnsi="宋体" w:cs="宋体"/>
                <w:spacing w:val="4"/>
                <w:sz w:val="18"/>
                <w:szCs w:val="21"/>
              </w:rPr>
              <w:t>制造商</w:t>
            </w:r>
          </w:p>
        </w:tc>
        <w:tc>
          <w:tcPr>
            <w:tcW w:w="1283" w:type="dxa"/>
            <w:noWrap/>
            <w:vAlign w:val="center"/>
          </w:tcPr>
          <w:p w14:paraId="0584EA44">
            <w:pPr>
              <w:overflowPunct w:val="0"/>
              <w:jc w:val="center"/>
              <w:rPr>
                <w:rFonts w:hint="eastAsia" w:ascii="宋体" w:hAnsi="宋体" w:cs="宋体"/>
                <w:spacing w:val="4"/>
                <w:sz w:val="18"/>
                <w:szCs w:val="21"/>
              </w:rPr>
            </w:pPr>
            <w:r>
              <w:rPr>
                <w:rFonts w:hint="eastAsia" w:ascii="宋体" w:hAnsi="宋体" w:cs="宋体"/>
                <w:spacing w:val="4"/>
                <w:sz w:val="18"/>
                <w:szCs w:val="21"/>
              </w:rPr>
              <w:t>数量</w:t>
            </w:r>
          </w:p>
        </w:tc>
        <w:tc>
          <w:tcPr>
            <w:tcW w:w="1283" w:type="dxa"/>
            <w:noWrap/>
            <w:vAlign w:val="center"/>
          </w:tcPr>
          <w:p w14:paraId="571BDB2A">
            <w:pPr>
              <w:overflowPunct w:val="0"/>
              <w:jc w:val="center"/>
              <w:rPr>
                <w:rFonts w:hint="eastAsia" w:ascii="宋体" w:hAnsi="宋体" w:cs="宋体"/>
                <w:spacing w:val="4"/>
                <w:sz w:val="18"/>
                <w:szCs w:val="21"/>
              </w:rPr>
            </w:pPr>
          </w:p>
        </w:tc>
        <w:tc>
          <w:tcPr>
            <w:tcW w:w="1284" w:type="dxa"/>
            <w:noWrap/>
            <w:vAlign w:val="center"/>
          </w:tcPr>
          <w:p w14:paraId="62B3B764">
            <w:pPr>
              <w:overflowPunct w:val="0"/>
              <w:jc w:val="center"/>
              <w:rPr>
                <w:rFonts w:hint="eastAsia" w:ascii="宋体" w:hAnsi="宋体" w:cs="宋体"/>
                <w:spacing w:val="4"/>
                <w:sz w:val="18"/>
                <w:szCs w:val="21"/>
              </w:rPr>
            </w:pPr>
            <w:r>
              <w:rPr>
                <w:rFonts w:hint="eastAsia" w:ascii="宋体" w:hAnsi="宋体" w:cs="宋体"/>
                <w:spacing w:val="4"/>
                <w:sz w:val="18"/>
                <w:szCs w:val="21"/>
              </w:rPr>
              <w:t>备注</w:t>
            </w:r>
          </w:p>
        </w:tc>
      </w:tr>
      <w:tr w14:paraId="1D664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trPr>
        <w:tc>
          <w:tcPr>
            <w:tcW w:w="863" w:type="dxa"/>
            <w:noWrap/>
            <w:vAlign w:val="center"/>
          </w:tcPr>
          <w:p w14:paraId="50A49CB1">
            <w:pPr>
              <w:overflowPunct w:val="0"/>
              <w:jc w:val="center"/>
              <w:rPr>
                <w:rFonts w:hint="eastAsia" w:ascii="宋体" w:hAnsi="宋体" w:cs="宋体"/>
                <w:spacing w:val="4"/>
                <w:sz w:val="18"/>
                <w:szCs w:val="21"/>
              </w:rPr>
            </w:pPr>
            <w:r>
              <w:rPr>
                <w:rFonts w:hint="eastAsia" w:ascii="宋体" w:hAnsi="宋体" w:cs="宋体"/>
                <w:spacing w:val="4"/>
                <w:sz w:val="18"/>
                <w:szCs w:val="21"/>
              </w:rPr>
              <w:t>1</w:t>
            </w:r>
          </w:p>
        </w:tc>
        <w:tc>
          <w:tcPr>
            <w:tcW w:w="1283" w:type="dxa"/>
            <w:noWrap/>
            <w:vAlign w:val="center"/>
          </w:tcPr>
          <w:p w14:paraId="561C1102">
            <w:pPr>
              <w:overflowPunct w:val="0"/>
              <w:jc w:val="center"/>
              <w:rPr>
                <w:rFonts w:hint="eastAsia" w:ascii="宋体" w:hAnsi="宋体" w:cs="宋体"/>
                <w:spacing w:val="4"/>
                <w:sz w:val="18"/>
                <w:szCs w:val="21"/>
              </w:rPr>
            </w:pPr>
          </w:p>
        </w:tc>
        <w:tc>
          <w:tcPr>
            <w:tcW w:w="1452" w:type="dxa"/>
            <w:noWrap/>
            <w:vAlign w:val="center"/>
          </w:tcPr>
          <w:p w14:paraId="0DC56A59">
            <w:pPr>
              <w:overflowPunct w:val="0"/>
              <w:jc w:val="center"/>
              <w:rPr>
                <w:rFonts w:hint="eastAsia" w:ascii="宋体" w:hAnsi="宋体" w:cs="宋体"/>
                <w:spacing w:val="4"/>
                <w:sz w:val="18"/>
                <w:szCs w:val="21"/>
              </w:rPr>
            </w:pPr>
          </w:p>
        </w:tc>
        <w:tc>
          <w:tcPr>
            <w:tcW w:w="1115" w:type="dxa"/>
            <w:noWrap/>
            <w:vAlign w:val="center"/>
          </w:tcPr>
          <w:p w14:paraId="698D8C08">
            <w:pPr>
              <w:overflowPunct w:val="0"/>
              <w:jc w:val="center"/>
              <w:rPr>
                <w:rFonts w:hint="eastAsia" w:ascii="宋体" w:hAnsi="宋体" w:cs="宋体"/>
                <w:spacing w:val="4"/>
                <w:sz w:val="18"/>
                <w:szCs w:val="21"/>
              </w:rPr>
            </w:pPr>
          </w:p>
        </w:tc>
        <w:tc>
          <w:tcPr>
            <w:tcW w:w="1283" w:type="dxa"/>
            <w:noWrap/>
            <w:vAlign w:val="center"/>
          </w:tcPr>
          <w:p w14:paraId="7641F57B">
            <w:pPr>
              <w:overflowPunct w:val="0"/>
              <w:jc w:val="center"/>
              <w:rPr>
                <w:rFonts w:hint="eastAsia" w:ascii="宋体" w:hAnsi="宋体" w:cs="宋体"/>
                <w:spacing w:val="4"/>
                <w:sz w:val="18"/>
                <w:szCs w:val="21"/>
              </w:rPr>
            </w:pPr>
          </w:p>
        </w:tc>
        <w:tc>
          <w:tcPr>
            <w:tcW w:w="1283" w:type="dxa"/>
            <w:noWrap/>
            <w:vAlign w:val="center"/>
          </w:tcPr>
          <w:p w14:paraId="5B736312">
            <w:pPr>
              <w:overflowPunct w:val="0"/>
              <w:jc w:val="center"/>
              <w:rPr>
                <w:rFonts w:hint="eastAsia" w:ascii="宋体" w:hAnsi="宋体" w:cs="宋体"/>
                <w:spacing w:val="4"/>
                <w:sz w:val="18"/>
                <w:szCs w:val="21"/>
              </w:rPr>
            </w:pPr>
          </w:p>
        </w:tc>
        <w:tc>
          <w:tcPr>
            <w:tcW w:w="1284" w:type="dxa"/>
            <w:noWrap/>
            <w:vAlign w:val="center"/>
          </w:tcPr>
          <w:p w14:paraId="74AC9F40">
            <w:pPr>
              <w:overflowPunct w:val="0"/>
              <w:jc w:val="center"/>
              <w:rPr>
                <w:rFonts w:hint="eastAsia" w:ascii="宋体" w:hAnsi="宋体" w:cs="宋体"/>
                <w:spacing w:val="4"/>
                <w:sz w:val="18"/>
                <w:szCs w:val="21"/>
              </w:rPr>
            </w:pPr>
          </w:p>
        </w:tc>
      </w:tr>
      <w:tr w14:paraId="2430B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 w:hRule="atLeast"/>
        </w:trPr>
        <w:tc>
          <w:tcPr>
            <w:tcW w:w="863" w:type="dxa"/>
            <w:noWrap/>
            <w:vAlign w:val="center"/>
          </w:tcPr>
          <w:p w14:paraId="76F73082">
            <w:pPr>
              <w:overflowPunct w:val="0"/>
              <w:jc w:val="center"/>
              <w:rPr>
                <w:rFonts w:hint="eastAsia" w:ascii="宋体" w:hAnsi="宋体" w:cs="宋体"/>
                <w:spacing w:val="4"/>
                <w:sz w:val="18"/>
                <w:szCs w:val="21"/>
              </w:rPr>
            </w:pPr>
            <w:r>
              <w:rPr>
                <w:rFonts w:hint="eastAsia" w:ascii="宋体" w:hAnsi="宋体" w:cs="宋体"/>
                <w:spacing w:val="4"/>
                <w:sz w:val="18"/>
                <w:szCs w:val="21"/>
              </w:rPr>
              <w:t>2</w:t>
            </w:r>
          </w:p>
        </w:tc>
        <w:tc>
          <w:tcPr>
            <w:tcW w:w="1283" w:type="dxa"/>
            <w:noWrap/>
            <w:vAlign w:val="center"/>
          </w:tcPr>
          <w:p w14:paraId="040CDFAB">
            <w:pPr>
              <w:overflowPunct w:val="0"/>
              <w:jc w:val="center"/>
              <w:rPr>
                <w:rFonts w:hint="eastAsia" w:ascii="宋体" w:hAnsi="宋体" w:cs="宋体"/>
                <w:spacing w:val="4"/>
                <w:sz w:val="18"/>
                <w:szCs w:val="21"/>
              </w:rPr>
            </w:pPr>
          </w:p>
        </w:tc>
        <w:tc>
          <w:tcPr>
            <w:tcW w:w="1452" w:type="dxa"/>
            <w:noWrap/>
            <w:vAlign w:val="center"/>
          </w:tcPr>
          <w:p w14:paraId="7CED6115">
            <w:pPr>
              <w:overflowPunct w:val="0"/>
              <w:jc w:val="center"/>
              <w:rPr>
                <w:rFonts w:hint="eastAsia" w:ascii="宋体" w:hAnsi="宋体" w:cs="宋体"/>
                <w:spacing w:val="4"/>
                <w:sz w:val="18"/>
                <w:szCs w:val="21"/>
              </w:rPr>
            </w:pPr>
          </w:p>
        </w:tc>
        <w:tc>
          <w:tcPr>
            <w:tcW w:w="1115" w:type="dxa"/>
            <w:noWrap/>
            <w:vAlign w:val="center"/>
          </w:tcPr>
          <w:p w14:paraId="39B26B26">
            <w:pPr>
              <w:overflowPunct w:val="0"/>
              <w:jc w:val="center"/>
              <w:rPr>
                <w:rFonts w:hint="eastAsia" w:ascii="宋体" w:hAnsi="宋体" w:cs="宋体"/>
                <w:spacing w:val="4"/>
                <w:sz w:val="18"/>
                <w:szCs w:val="21"/>
              </w:rPr>
            </w:pPr>
          </w:p>
        </w:tc>
        <w:tc>
          <w:tcPr>
            <w:tcW w:w="1283" w:type="dxa"/>
            <w:noWrap/>
            <w:vAlign w:val="center"/>
          </w:tcPr>
          <w:p w14:paraId="0CC568D9">
            <w:pPr>
              <w:overflowPunct w:val="0"/>
              <w:jc w:val="center"/>
              <w:rPr>
                <w:rFonts w:hint="eastAsia" w:ascii="宋体" w:hAnsi="宋体" w:cs="宋体"/>
                <w:spacing w:val="4"/>
                <w:sz w:val="18"/>
                <w:szCs w:val="21"/>
              </w:rPr>
            </w:pPr>
          </w:p>
        </w:tc>
        <w:tc>
          <w:tcPr>
            <w:tcW w:w="1283" w:type="dxa"/>
            <w:noWrap/>
            <w:vAlign w:val="center"/>
          </w:tcPr>
          <w:p w14:paraId="0C5410B8">
            <w:pPr>
              <w:overflowPunct w:val="0"/>
              <w:jc w:val="center"/>
              <w:rPr>
                <w:rFonts w:hint="eastAsia" w:ascii="宋体" w:hAnsi="宋体" w:cs="宋体"/>
                <w:spacing w:val="4"/>
                <w:sz w:val="18"/>
                <w:szCs w:val="21"/>
              </w:rPr>
            </w:pPr>
          </w:p>
        </w:tc>
        <w:tc>
          <w:tcPr>
            <w:tcW w:w="1284" w:type="dxa"/>
            <w:noWrap/>
            <w:vAlign w:val="center"/>
          </w:tcPr>
          <w:p w14:paraId="10122C0D">
            <w:pPr>
              <w:overflowPunct w:val="0"/>
              <w:jc w:val="center"/>
              <w:rPr>
                <w:rFonts w:hint="eastAsia" w:ascii="宋体" w:hAnsi="宋体" w:cs="宋体"/>
                <w:spacing w:val="4"/>
                <w:sz w:val="18"/>
                <w:szCs w:val="21"/>
              </w:rPr>
            </w:pPr>
          </w:p>
        </w:tc>
      </w:tr>
      <w:tr w14:paraId="69041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63" w:type="dxa"/>
            <w:noWrap/>
            <w:vAlign w:val="center"/>
          </w:tcPr>
          <w:p w14:paraId="7B74918C">
            <w:pPr>
              <w:overflowPunct w:val="0"/>
              <w:jc w:val="center"/>
              <w:rPr>
                <w:rFonts w:hint="eastAsia" w:ascii="宋体" w:hAnsi="宋体" w:cs="宋体"/>
                <w:spacing w:val="4"/>
                <w:sz w:val="18"/>
                <w:szCs w:val="21"/>
              </w:rPr>
            </w:pPr>
            <w:r>
              <w:rPr>
                <w:rFonts w:hint="eastAsia" w:ascii="宋体" w:hAnsi="宋体" w:cs="宋体"/>
                <w:spacing w:val="4"/>
                <w:sz w:val="18"/>
                <w:szCs w:val="21"/>
              </w:rPr>
              <w:t>3</w:t>
            </w:r>
          </w:p>
        </w:tc>
        <w:tc>
          <w:tcPr>
            <w:tcW w:w="1283" w:type="dxa"/>
            <w:noWrap/>
            <w:vAlign w:val="center"/>
          </w:tcPr>
          <w:p w14:paraId="42009601">
            <w:pPr>
              <w:overflowPunct w:val="0"/>
              <w:jc w:val="center"/>
              <w:rPr>
                <w:rFonts w:hint="eastAsia" w:ascii="宋体" w:hAnsi="宋体" w:cs="宋体"/>
                <w:spacing w:val="4"/>
                <w:sz w:val="18"/>
                <w:szCs w:val="21"/>
              </w:rPr>
            </w:pPr>
          </w:p>
        </w:tc>
        <w:tc>
          <w:tcPr>
            <w:tcW w:w="1452" w:type="dxa"/>
            <w:noWrap/>
            <w:vAlign w:val="center"/>
          </w:tcPr>
          <w:p w14:paraId="2B877ECE">
            <w:pPr>
              <w:overflowPunct w:val="0"/>
              <w:jc w:val="center"/>
              <w:rPr>
                <w:rFonts w:hint="eastAsia" w:ascii="宋体" w:hAnsi="宋体" w:cs="宋体"/>
                <w:spacing w:val="4"/>
                <w:sz w:val="18"/>
                <w:szCs w:val="21"/>
              </w:rPr>
            </w:pPr>
          </w:p>
        </w:tc>
        <w:tc>
          <w:tcPr>
            <w:tcW w:w="1115" w:type="dxa"/>
            <w:noWrap/>
            <w:vAlign w:val="center"/>
          </w:tcPr>
          <w:p w14:paraId="08186188">
            <w:pPr>
              <w:overflowPunct w:val="0"/>
              <w:jc w:val="center"/>
              <w:rPr>
                <w:rFonts w:hint="eastAsia" w:ascii="宋体" w:hAnsi="宋体" w:cs="宋体"/>
                <w:spacing w:val="4"/>
                <w:sz w:val="18"/>
                <w:szCs w:val="21"/>
              </w:rPr>
            </w:pPr>
          </w:p>
        </w:tc>
        <w:tc>
          <w:tcPr>
            <w:tcW w:w="1283" w:type="dxa"/>
            <w:noWrap/>
            <w:vAlign w:val="center"/>
          </w:tcPr>
          <w:p w14:paraId="2A6256D4">
            <w:pPr>
              <w:overflowPunct w:val="0"/>
              <w:jc w:val="center"/>
              <w:rPr>
                <w:rFonts w:hint="eastAsia" w:ascii="宋体" w:hAnsi="宋体" w:cs="宋体"/>
                <w:spacing w:val="4"/>
                <w:sz w:val="18"/>
                <w:szCs w:val="21"/>
              </w:rPr>
            </w:pPr>
          </w:p>
        </w:tc>
        <w:tc>
          <w:tcPr>
            <w:tcW w:w="1283" w:type="dxa"/>
            <w:noWrap/>
            <w:vAlign w:val="center"/>
          </w:tcPr>
          <w:p w14:paraId="19A9D43E">
            <w:pPr>
              <w:overflowPunct w:val="0"/>
              <w:jc w:val="center"/>
              <w:rPr>
                <w:rFonts w:hint="eastAsia" w:ascii="宋体" w:hAnsi="宋体" w:cs="宋体"/>
                <w:spacing w:val="4"/>
                <w:sz w:val="18"/>
                <w:szCs w:val="21"/>
              </w:rPr>
            </w:pPr>
          </w:p>
        </w:tc>
        <w:tc>
          <w:tcPr>
            <w:tcW w:w="1284" w:type="dxa"/>
            <w:noWrap/>
            <w:vAlign w:val="center"/>
          </w:tcPr>
          <w:p w14:paraId="233FFE1B">
            <w:pPr>
              <w:overflowPunct w:val="0"/>
              <w:jc w:val="center"/>
              <w:rPr>
                <w:rFonts w:hint="eastAsia" w:ascii="宋体" w:hAnsi="宋体" w:cs="宋体"/>
                <w:spacing w:val="4"/>
                <w:sz w:val="18"/>
                <w:szCs w:val="21"/>
              </w:rPr>
            </w:pPr>
          </w:p>
        </w:tc>
      </w:tr>
    </w:tbl>
    <w:p w14:paraId="5C429C8F">
      <w:pPr>
        <w:overflowPunct w:val="0"/>
        <w:rPr>
          <w:rFonts w:hint="eastAsia" w:ascii="宋体" w:hAnsi="宋体" w:cs="宋体"/>
          <w:spacing w:val="4"/>
        </w:rPr>
      </w:pPr>
      <w:r>
        <w:rPr>
          <w:rFonts w:hint="eastAsia" w:ascii="宋体" w:hAnsi="宋体" w:cs="宋体"/>
          <w:spacing w:val="4"/>
        </w:rPr>
        <w:t xml:space="preserve"> 〈注：价格一项在投标（商务）报价表中填写〉</w:t>
      </w:r>
    </w:p>
    <w:p w14:paraId="027CFB0F">
      <w:pPr>
        <w:overflowPunct w:val="0"/>
        <w:rPr>
          <w:rFonts w:hint="eastAsia" w:ascii="宋体" w:hAnsi="宋体" w:cs="宋体"/>
          <w:spacing w:val="4"/>
          <w:sz w:val="15"/>
          <w:szCs w:val="15"/>
        </w:rPr>
      </w:pPr>
    </w:p>
    <w:p w14:paraId="0FB83183">
      <w:pPr>
        <w:overflowPunct w:val="0"/>
        <w:outlineLvl w:val="0"/>
        <w:rPr>
          <w:rFonts w:hint="eastAsia" w:ascii="宋体" w:hAnsi="宋体" w:cs="宋体"/>
          <w:b/>
          <w:spacing w:val="4"/>
        </w:rPr>
      </w:pPr>
      <w:bookmarkStart w:id="62" w:name="_Toc28925"/>
      <w:bookmarkStart w:id="63" w:name="_Toc24133"/>
      <w:bookmarkStart w:id="64" w:name="_Toc3382"/>
      <w:bookmarkStart w:id="65" w:name="_Toc21507"/>
      <w:bookmarkStart w:id="66" w:name="_Toc29622"/>
      <w:bookmarkStart w:id="67" w:name="_Toc15849"/>
      <w:bookmarkStart w:id="68" w:name="_Toc4424"/>
      <w:bookmarkStart w:id="69" w:name="_Toc22006"/>
      <w:bookmarkStart w:id="70" w:name="_Toc20841"/>
      <w:bookmarkStart w:id="71" w:name="_Toc28527"/>
      <w:r>
        <w:rPr>
          <w:rFonts w:hint="eastAsia" w:ascii="宋体" w:hAnsi="宋体" w:cs="宋体"/>
          <w:b/>
          <w:spacing w:val="4"/>
          <w:sz w:val="28"/>
        </w:rPr>
        <w:t>附表B ：投标（商务）报价表</w:t>
      </w:r>
      <w:bookmarkEnd w:id="62"/>
      <w:bookmarkEnd w:id="63"/>
      <w:bookmarkEnd w:id="64"/>
      <w:bookmarkEnd w:id="65"/>
      <w:bookmarkEnd w:id="66"/>
      <w:bookmarkEnd w:id="67"/>
      <w:bookmarkEnd w:id="68"/>
      <w:bookmarkEnd w:id="69"/>
      <w:bookmarkEnd w:id="70"/>
      <w:bookmarkEnd w:id="71"/>
    </w:p>
    <w:p w14:paraId="285037E0">
      <w:pPr>
        <w:numPr>
          <w:ilvl w:val="0"/>
          <w:numId w:val="46"/>
        </w:numPr>
        <w:tabs>
          <w:tab w:val="clear" w:pos="780"/>
        </w:tabs>
        <w:overflowPunct w:val="0"/>
        <w:ind w:left="189" w:hanging="189"/>
        <w:rPr>
          <w:rFonts w:hint="eastAsia" w:ascii="宋体" w:hAnsi="宋体" w:cs="宋体"/>
          <w:spacing w:val="4"/>
        </w:rPr>
      </w:pPr>
      <w:r>
        <w:rPr>
          <w:rFonts w:hint="eastAsia" w:ascii="宋体" w:hAnsi="宋体" w:cs="宋体"/>
          <w:b/>
          <w:bCs/>
        </w:rPr>
        <w:t>一</w:t>
      </w:r>
      <w:r>
        <w:rPr>
          <w:rFonts w:hint="eastAsia" w:ascii="宋体" w:hAnsi="宋体" w:cs="宋体"/>
          <w:spacing w:val="4"/>
        </w:rPr>
        <w:t>般要求</w:t>
      </w:r>
    </w:p>
    <w:p w14:paraId="287C4938">
      <w:pPr>
        <w:numPr>
          <w:ilvl w:val="1"/>
          <w:numId w:val="46"/>
        </w:numPr>
        <w:tabs>
          <w:tab w:val="clear" w:pos="780"/>
        </w:tabs>
        <w:overflowPunct w:val="0"/>
        <w:rPr>
          <w:rFonts w:hint="eastAsia" w:ascii="宋体" w:hAnsi="宋体" w:cs="宋体"/>
          <w:spacing w:val="4"/>
        </w:rPr>
      </w:pPr>
      <w:r>
        <w:rPr>
          <w:rFonts w:hint="eastAsia" w:ascii="宋体" w:hAnsi="宋体" w:cs="宋体"/>
          <w:spacing w:val="4"/>
        </w:rPr>
        <w:t>本表中的分项须与供货范围中的分项内容的序号一致。</w:t>
      </w:r>
    </w:p>
    <w:p w14:paraId="4311AFB4">
      <w:pPr>
        <w:numPr>
          <w:ilvl w:val="1"/>
          <w:numId w:val="46"/>
        </w:numPr>
        <w:tabs>
          <w:tab w:val="clear" w:pos="780"/>
        </w:tabs>
        <w:overflowPunct w:val="0"/>
        <w:rPr>
          <w:rFonts w:hint="eastAsia" w:ascii="宋体" w:hAnsi="宋体" w:cs="宋体"/>
          <w:spacing w:val="4"/>
        </w:rPr>
      </w:pPr>
      <w:r>
        <w:rPr>
          <w:rFonts w:hint="eastAsia" w:ascii="宋体" w:hAnsi="宋体" w:cs="宋体"/>
          <w:spacing w:val="4"/>
        </w:rPr>
        <w:t>当分项价之和与总价不符时，以分项价为准。如有优惠条件，优惠条件要在分项价中体现。</w:t>
      </w:r>
    </w:p>
    <w:p w14:paraId="188E5560">
      <w:pPr>
        <w:numPr>
          <w:ilvl w:val="1"/>
          <w:numId w:val="46"/>
        </w:numPr>
        <w:tabs>
          <w:tab w:val="clear" w:pos="780"/>
        </w:tabs>
        <w:overflowPunct w:val="0"/>
        <w:rPr>
          <w:rFonts w:hint="eastAsia" w:ascii="宋体" w:hAnsi="宋体" w:cs="宋体"/>
          <w:spacing w:val="4"/>
        </w:rPr>
      </w:pPr>
      <w:r>
        <w:rPr>
          <w:rFonts w:hint="eastAsia" w:ascii="宋体" w:hAnsi="宋体" w:cs="宋体"/>
          <w:spacing w:val="4"/>
        </w:rPr>
        <w:t xml:space="preserve">报价币种为人民币。 </w:t>
      </w:r>
    </w:p>
    <w:p w14:paraId="276DF435">
      <w:pPr>
        <w:numPr>
          <w:ilvl w:val="1"/>
          <w:numId w:val="46"/>
        </w:numPr>
        <w:tabs>
          <w:tab w:val="clear" w:pos="780"/>
        </w:tabs>
        <w:overflowPunct w:val="0"/>
        <w:rPr>
          <w:rFonts w:hint="eastAsia" w:ascii="宋体" w:hAnsi="宋体" w:cs="宋体"/>
          <w:spacing w:val="4"/>
        </w:rPr>
      </w:pPr>
      <w:r>
        <w:rPr>
          <w:rFonts w:hint="eastAsia" w:ascii="宋体" w:hAnsi="宋体" w:cs="宋体"/>
          <w:spacing w:val="4"/>
        </w:rPr>
        <w:t>运杂费等要单独报价。</w:t>
      </w:r>
    </w:p>
    <w:p w14:paraId="403E4ECD">
      <w:pPr>
        <w:numPr>
          <w:ilvl w:val="1"/>
          <w:numId w:val="46"/>
        </w:numPr>
        <w:tabs>
          <w:tab w:val="clear" w:pos="780"/>
        </w:tabs>
        <w:overflowPunct w:val="0"/>
        <w:rPr>
          <w:rFonts w:hint="eastAsia" w:ascii="宋体" w:hAnsi="宋体" w:cs="宋体"/>
          <w:spacing w:val="4"/>
        </w:rPr>
      </w:pPr>
      <w:r>
        <w:rPr>
          <w:rFonts w:hint="eastAsia" w:ascii="宋体" w:hAnsi="宋体" w:cs="宋体"/>
          <w:spacing w:val="4"/>
        </w:rPr>
        <w:t>报价应注明日期、有效期、交货地点。</w:t>
      </w:r>
    </w:p>
    <w:p w14:paraId="3161D522">
      <w:pPr>
        <w:numPr>
          <w:ilvl w:val="0"/>
          <w:numId w:val="46"/>
        </w:numPr>
        <w:tabs>
          <w:tab w:val="clear" w:pos="780"/>
        </w:tabs>
        <w:overflowPunct w:val="0"/>
        <w:ind w:left="189" w:hanging="189"/>
        <w:rPr>
          <w:rFonts w:hint="eastAsia" w:ascii="宋体" w:hAnsi="宋体" w:cs="宋体"/>
          <w:spacing w:val="4"/>
        </w:rPr>
      </w:pPr>
      <w:r>
        <w:rPr>
          <w:rFonts w:hint="eastAsia" w:ascii="宋体" w:hAnsi="宋体" w:cs="宋体"/>
          <w:spacing w:val="4"/>
        </w:rPr>
        <w:t xml:space="preserve">投标（商务）报价表 </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
        <w:gridCol w:w="1283"/>
        <w:gridCol w:w="1461"/>
        <w:gridCol w:w="1106"/>
        <w:gridCol w:w="1283"/>
        <w:gridCol w:w="1283"/>
        <w:gridCol w:w="1284"/>
      </w:tblGrid>
      <w:tr w14:paraId="28278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 w:hRule="atLeast"/>
          <w:jc w:val="center"/>
        </w:trPr>
        <w:tc>
          <w:tcPr>
            <w:tcW w:w="820" w:type="dxa"/>
            <w:noWrap/>
            <w:vAlign w:val="center"/>
          </w:tcPr>
          <w:p w14:paraId="113A37D8">
            <w:pPr>
              <w:overflowPunct w:val="0"/>
              <w:jc w:val="center"/>
              <w:rPr>
                <w:rFonts w:hint="eastAsia" w:ascii="宋体" w:hAnsi="宋体" w:cs="宋体"/>
                <w:spacing w:val="4"/>
                <w:sz w:val="18"/>
                <w:szCs w:val="21"/>
              </w:rPr>
            </w:pPr>
            <w:r>
              <w:rPr>
                <w:rFonts w:hint="eastAsia" w:ascii="宋体" w:hAnsi="宋体" w:cs="宋体"/>
                <w:spacing w:val="4"/>
                <w:sz w:val="18"/>
                <w:szCs w:val="21"/>
              </w:rPr>
              <w:t>序号</w:t>
            </w:r>
          </w:p>
        </w:tc>
        <w:tc>
          <w:tcPr>
            <w:tcW w:w="1283" w:type="dxa"/>
            <w:noWrap/>
            <w:vAlign w:val="center"/>
          </w:tcPr>
          <w:p w14:paraId="017D1FAE">
            <w:pPr>
              <w:overflowPunct w:val="0"/>
              <w:jc w:val="center"/>
              <w:rPr>
                <w:rFonts w:hint="eastAsia" w:ascii="宋体" w:hAnsi="宋体" w:cs="宋体"/>
                <w:spacing w:val="4"/>
                <w:sz w:val="18"/>
                <w:szCs w:val="21"/>
              </w:rPr>
            </w:pPr>
            <w:r>
              <w:rPr>
                <w:rFonts w:hint="eastAsia" w:ascii="宋体" w:hAnsi="宋体" w:cs="宋体"/>
                <w:spacing w:val="4"/>
                <w:sz w:val="18"/>
                <w:szCs w:val="21"/>
              </w:rPr>
              <w:t>名称</w:t>
            </w:r>
          </w:p>
        </w:tc>
        <w:tc>
          <w:tcPr>
            <w:tcW w:w="1461" w:type="dxa"/>
            <w:noWrap/>
            <w:vAlign w:val="center"/>
          </w:tcPr>
          <w:p w14:paraId="38351141">
            <w:pPr>
              <w:overflowPunct w:val="0"/>
              <w:jc w:val="center"/>
              <w:rPr>
                <w:rFonts w:hint="eastAsia" w:ascii="宋体" w:hAnsi="宋体" w:cs="宋体"/>
                <w:spacing w:val="4"/>
                <w:sz w:val="18"/>
                <w:szCs w:val="21"/>
              </w:rPr>
            </w:pPr>
            <w:r>
              <w:rPr>
                <w:rFonts w:hint="eastAsia" w:ascii="宋体" w:hAnsi="宋体" w:cs="宋体"/>
                <w:spacing w:val="4"/>
                <w:sz w:val="18"/>
                <w:szCs w:val="21"/>
              </w:rPr>
              <w:t>规格和型号</w:t>
            </w:r>
          </w:p>
        </w:tc>
        <w:tc>
          <w:tcPr>
            <w:tcW w:w="1106" w:type="dxa"/>
            <w:noWrap/>
            <w:vAlign w:val="center"/>
          </w:tcPr>
          <w:p w14:paraId="66E3C98C">
            <w:pPr>
              <w:overflowPunct w:val="0"/>
              <w:jc w:val="center"/>
              <w:rPr>
                <w:rFonts w:hint="eastAsia" w:ascii="宋体" w:hAnsi="宋体" w:cs="宋体"/>
                <w:spacing w:val="4"/>
                <w:sz w:val="18"/>
                <w:szCs w:val="21"/>
              </w:rPr>
            </w:pPr>
            <w:r>
              <w:rPr>
                <w:rFonts w:hint="eastAsia" w:ascii="宋体" w:hAnsi="宋体" w:cs="宋体"/>
                <w:spacing w:val="4"/>
                <w:sz w:val="18"/>
                <w:szCs w:val="21"/>
              </w:rPr>
              <w:t>制造商</w:t>
            </w:r>
          </w:p>
        </w:tc>
        <w:tc>
          <w:tcPr>
            <w:tcW w:w="1283" w:type="dxa"/>
            <w:noWrap/>
            <w:vAlign w:val="center"/>
          </w:tcPr>
          <w:p w14:paraId="4BB7EA7B">
            <w:pPr>
              <w:overflowPunct w:val="0"/>
              <w:jc w:val="center"/>
              <w:rPr>
                <w:rFonts w:hint="eastAsia" w:ascii="宋体" w:hAnsi="宋体" w:cs="宋体"/>
                <w:spacing w:val="4"/>
                <w:sz w:val="18"/>
                <w:szCs w:val="21"/>
              </w:rPr>
            </w:pPr>
            <w:r>
              <w:rPr>
                <w:rFonts w:hint="eastAsia" w:ascii="宋体" w:hAnsi="宋体" w:cs="宋体"/>
                <w:spacing w:val="4"/>
                <w:sz w:val="18"/>
                <w:szCs w:val="21"/>
              </w:rPr>
              <w:t>数量</w:t>
            </w:r>
          </w:p>
        </w:tc>
        <w:tc>
          <w:tcPr>
            <w:tcW w:w="1283" w:type="dxa"/>
            <w:noWrap/>
            <w:vAlign w:val="center"/>
          </w:tcPr>
          <w:p w14:paraId="69AB5CBA">
            <w:pPr>
              <w:overflowPunct w:val="0"/>
              <w:jc w:val="center"/>
              <w:rPr>
                <w:rFonts w:hint="eastAsia" w:ascii="宋体" w:hAnsi="宋体" w:cs="宋体"/>
                <w:spacing w:val="4"/>
                <w:sz w:val="18"/>
                <w:szCs w:val="21"/>
              </w:rPr>
            </w:pPr>
            <w:r>
              <w:rPr>
                <w:rFonts w:hint="eastAsia" w:ascii="宋体" w:hAnsi="宋体" w:cs="宋体"/>
                <w:spacing w:val="4"/>
                <w:sz w:val="18"/>
                <w:szCs w:val="21"/>
              </w:rPr>
              <w:t>价格</w:t>
            </w:r>
          </w:p>
        </w:tc>
        <w:tc>
          <w:tcPr>
            <w:tcW w:w="1284" w:type="dxa"/>
            <w:noWrap/>
            <w:vAlign w:val="center"/>
          </w:tcPr>
          <w:p w14:paraId="6E1148EC">
            <w:pPr>
              <w:overflowPunct w:val="0"/>
              <w:jc w:val="center"/>
              <w:rPr>
                <w:rFonts w:hint="eastAsia" w:ascii="宋体" w:hAnsi="宋体" w:cs="宋体"/>
                <w:spacing w:val="4"/>
                <w:sz w:val="18"/>
                <w:szCs w:val="21"/>
              </w:rPr>
            </w:pPr>
            <w:r>
              <w:rPr>
                <w:rFonts w:hint="eastAsia" w:ascii="宋体" w:hAnsi="宋体" w:cs="宋体"/>
                <w:spacing w:val="4"/>
                <w:sz w:val="18"/>
                <w:szCs w:val="21"/>
              </w:rPr>
              <w:t>备注</w:t>
            </w:r>
          </w:p>
        </w:tc>
      </w:tr>
      <w:tr w14:paraId="7935F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0" w:type="dxa"/>
            <w:noWrap/>
            <w:vAlign w:val="center"/>
          </w:tcPr>
          <w:p w14:paraId="0EA0817E">
            <w:pPr>
              <w:overflowPunct w:val="0"/>
              <w:jc w:val="center"/>
              <w:rPr>
                <w:rFonts w:hint="eastAsia" w:ascii="宋体" w:hAnsi="宋体" w:cs="宋体"/>
                <w:spacing w:val="4"/>
                <w:sz w:val="18"/>
                <w:szCs w:val="21"/>
              </w:rPr>
            </w:pPr>
            <w:r>
              <w:rPr>
                <w:rFonts w:hint="eastAsia" w:ascii="宋体" w:hAnsi="宋体" w:cs="宋体"/>
                <w:spacing w:val="4"/>
                <w:sz w:val="18"/>
                <w:szCs w:val="21"/>
              </w:rPr>
              <w:t>1</w:t>
            </w:r>
          </w:p>
        </w:tc>
        <w:tc>
          <w:tcPr>
            <w:tcW w:w="1283" w:type="dxa"/>
            <w:noWrap/>
            <w:vAlign w:val="center"/>
          </w:tcPr>
          <w:p w14:paraId="3E947EC3">
            <w:pPr>
              <w:overflowPunct w:val="0"/>
              <w:jc w:val="center"/>
              <w:rPr>
                <w:rFonts w:hint="eastAsia" w:ascii="宋体" w:hAnsi="宋体" w:cs="宋体"/>
                <w:spacing w:val="4"/>
                <w:sz w:val="18"/>
                <w:szCs w:val="21"/>
              </w:rPr>
            </w:pPr>
          </w:p>
        </w:tc>
        <w:tc>
          <w:tcPr>
            <w:tcW w:w="1461" w:type="dxa"/>
            <w:noWrap/>
            <w:vAlign w:val="center"/>
          </w:tcPr>
          <w:p w14:paraId="61CFDD53">
            <w:pPr>
              <w:overflowPunct w:val="0"/>
              <w:jc w:val="center"/>
              <w:rPr>
                <w:rFonts w:hint="eastAsia" w:ascii="宋体" w:hAnsi="宋体" w:cs="宋体"/>
                <w:spacing w:val="4"/>
                <w:sz w:val="18"/>
                <w:szCs w:val="21"/>
              </w:rPr>
            </w:pPr>
          </w:p>
        </w:tc>
        <w:tc>
          <w:tcPr>
            <w:tcW w:w="1106" w:type="dxa"/>
            <w:noWrap/>
            <w:vAlign w:val="center"/>
          </w:tcPr>
          <w:p w14:paraId="7E6A94DC">
            <w:pPr>
              <w:overflowPunct w:val="0"/>
              <w:jc w:val="center"/>
              <w:rPr>
                <w:rFonts w:hint="eastAsia" w:ascii="宋体" w:hAnsi="宋体" w:cs="宋体"/>
                <w:spacing w:val="4"/>
                <w:sz w:val="18"/>
                <w:szCs w:val="21"/>
              </w:rPr>
            </w:pPr>
          </w:p>
        </w:tc>
        <w:tc>
          <w:tcPr>
            <w:tcW w:w="1283" w:type="dxa"/>
            <w:noWrap/>
            <w:vAlign w:val="center"/>
          </w:tcPr>
          <w:p w14:paraId="59DDC8B6">
            <w:pPr>
              <w:overflowPunct w:val="0"/>
              <w:jc w:val="center"/>
              <w:rPr>
                <w:rFonts w:hint="eastAsia" w:ascii="宋体" w:hAnsi="宋体" w:cs="宋体"/>
                <w:spacing w:val="4"/>
                <w:sz w:val="18"/>
                <w:szCs w:val="21"/>
              </w:rPr>
            </w:pPr>
          </w:p>
        </w:tc>
        <w:tc>
          <w:tcPr>
            <w:tcW w:w="1283" w:type="dxa"/>
            <w:noWrap/>
            <w:vAlign w:val="center"/>
          </w:tcPr>
          <w:p w14:paraId="2C69D3A6">
            <w:pPr>
              <w:overflowPunct w:val="0"/>
              <w:jc w:val="center"/>
              <w:rPr>
                <w:rFonts w:hint="eastAsia" w:ascii="宋体" w:hAnsi="宋体" w:cs="宋体"/>
                <w:spacing w:val="4"/>
                <w:sz w:val="18"/>
                <w:szCs w:val="21"/>
              </w:rPr>
            </w:pPr>
          </w:p>
        </w:tc>
        <w:tc>
          <w:tcPr>
            <w:tcW w:w="1284" w:type="dxa"/>
            <w:noWrap/>
            <w:vAlign w:val="center"/>
          </w:tcPr>
          <w:p w14:paraId="72E93F80">
            <w:pPr>
              <w:overflowPunct w:val="0"/>
              <w:jc w:val="center"/>
              <w:rPr>
                <w:rFonts w:hint="eastAsia" w:ascii="宋体" w:hAnsi="宋体" w:cs="宋体"/>
                <w:spacing w:val="4"/>
                <w:sz w:val="18"/>
                <w:szCs w:val="21"/>
              </w:rPr>
            </w:pPr>
          </w:p>
        </w:tc>
      </w:tr>
      <w:tr w14:paraId="02BA8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0" w:type="dxa"/>
            <w:noWrap/>
            <w:vAlign w:val="center"/>
          </w:tcPr>
          <w:p w14:paraId="25E56B18">
            <w:pPr>
              <w:overflowPunct w:val="0"/>
              <w:jc w:val="center"/>
              <w:rPr>
                <w:rFonts w:hint="eastAsia" w:ascii="宋体" w:hAnsi="宋体" w:cs="宋体"/>
                <w:spacing w:val="4"/>
                <w:sz w:val="18"/>
                <w:szCs w:val="21"/>
              </w:rPr>
            </w:pPr>
            <w:r>
              <w:rPr>
                <w:rFonts w:hint="eastAsia" w:ascii="宋体" w:hAnsi="宋体" w:cs="宋体"/>
                <w:spacing w:val="4"/>
                <w:sz w:val="18"/>
                <w:szCs w:val="21"/>
              </w:rPr>
              <w:t>2</w:t>
            </w:r>
          </w:p>
        </w:tc>
        <w:tc>
          <w:tcPr>
            <w:tcW w:w="1283" w:type="dxa"/>
            <w:noWrap/>
            <w:vAlign w:val="center"/>
          </w:tcPr>
          <w:p w14:paraId="6D4A3E39">
            <w:pPr>
              <w:overflowPunct w:val="0"/>
              <w:jc w:val="center"/>
              <w:rPr>
                <w:rFonts w:hint="eastAsia" w:ascii="宋体" w:hAnsi="宋体" w:cs="宋体"/>
                <w:spacing w:val="4"/>
                <w:sz w:val="18"/>
                <w:szCs w:val="21"/>
              </w:rPr>
            </w:pPr>
          </w:p>
        </w:tc>
        <w:tc>
          <w:tcPr>
            <w:tcW w:w="1461" w:type="dxa"/>
            <w:noWrap/>
            <w:vAlign w:val="center"/>
          </w:tcPr>
          <w:p w14:paraId="54420DFC">
            <w:pPr>
              <w:overflowPunct w:val="0"/>
              <w:jc w:val="center"/>
              <w:rPr>
                <w:rFonts w:hint="eastAsia" w:ascii="宋体" w:hAnsi="宋体" w:cs="宋体"/>
                <w:spacing w:val="4"/>
                <w:sz w:val="18"/>
                <w:szCs w:val="21"/>
              </w:rPr>
            </w:pPr>
          </w:p>
        </w:tc>
        <w:tc>
          <w:tcPr>
            <w:tcW w:w="1106" w:type="dxa"/>
            <w:noWrap/>
            <w:vAlign w:val="center"/>
          </w:tcPr>
          <w:p w14:paraId="051F715D">
            <w:pPr>
              <w:overflowPunct w:val="0"/>
              <w:jc w:val="center"/>
              <w:rPr>
                <w:rFonts w:hint="eastAsia" w:ascii="宋体" w:hAnsi="宋体" w:cs="宋体"/>
                <w:spacing w:val="4"/>
                <w:sz w:val="18"/>
                <w:szCs w:val="21"/>
              </w:rPr>
            </w:pPr>
          </w:p>
        </w:tc>
        <w:tc>
          <w:tcPr>
            <w:tcW w:w="1283" w:type="dxa"/>
            <w:noWrap/>
            <w:vAlign w:val="center"/>
          </w:tcPr>
          <w:p w14:paraId="224CB715">
            <w:pPr>
              <w:overflowPunct w:val="0"/>
              <w:jc w:val="center"/>
              <w:rPr>
                <w:rFonts w:hint="eastAsia" w:ascii="宋体" w:hAnsi="宋体" w:cs="宋体"/>
                <w:spacing w:val="4"/>
                <w:sz w:val="18"/>
                <w:szCs w:val="21"/>
              </w:rPr>
            </w:pPr>
          </w:p>
        </w:tc>
        <w:tc>
          <w:tcPr>
            <w:tcW w:w="1283" w:type="dxa"/>
            <w:noWrap/>
            <w:vAlign w:val="center"/>
          </w:tcPr>
          <w:p w14:paraId="7418603D">
            <w:pPr>
              <w:overflowPunct w:val="0"/>
              <w:jc w:val="center"/>
              <w:rPr>
                <w:rFonts w:hint="eastAsia" w:ascii="宋体" w:hAnsi="宋体" w:cs="宋体"/>
                <w:spacing w:val="4"/>
                <w:sz w:val="18"/>
                <w:szCs w:val="21"/>
              </w:rPr>
            </w:pPr>
          </w:p>
        </w:tc>
        <w:tc>
          <w:tcPr>
            <w:tcW w:w="1284" w:type="dxa"/>
            <w:noWrap/>
            <w:vAlign w:val="center"/>
          </w:tcPr>
          <w:p w14:paraId="66310C87">
            <w:pPr>
              <w:overflowPunct w:val="0"/>
              <w:jc w:val="center"/>
              <w:rPr>
                <w:rFonts w:hint="eastAsia" w:ascii="宋体" w:hAnsi="宋体" w:cs="宋体"/>
                <w:spacing w:val="4"/>
                <w:sz w:val="18"/>
                <w:szCs w:val="21"/>
              </w:rPr>
            </w:pPr>
          </w:p>
        </w:tc>
      </w:tr>
      <w:tr w14:paraId="773CD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jc w:val="center"/>
        </w:trPr>
        <w:tc>
          <w:tcPr>
            <w:tcW w:w="820" w:type="dxa"/>
            <w:noWrap/>
            <w:vAlign w:val="center"/>
          </w:tcPr>
          <w:p w14:paraId="48E7B8FA">
            <w:pPr>
              <w:overflowPunct w:val="0"/>
              <w:jc w:val="center"/>
              <w:rPr>
                <w:rFonts w:hint="eastAsia" w:ascii="宋体" w:hAnsi="宋体" w:cs="宋体"/>
                <w:spacing w:val="4"/>
                <w:sz w:val="18"/>
                <w:szCs w:val="21"/>
              </w:rPr>
            </w:pPr>
            <w:r>
              <w:rPr>
                <w:rFonts w:hint="eastAsia" w:ascii="宋体" w:hAnsi="宋体" w:cs="宋体"/>
                <w:spacing w:val="4"/>
                <w:sz w:val="18"/>
                <w:szCs w:val="21"/>
              </w:rPr>
              <w:t>总价</w:t>
            </w:r>
          </w:p>
        </w:tc>
        <w:tc>
          <w:tcPr>
            <w:tcW w:w="1283" w:type="dxa"/>
            <w:noWrap/>
            <w:vAlign w:val="center"/>
          </w:tcPr>
          <w:p w14:paraId="7CB01F84">
            <w:pPr>
              <w:overflowPunct w:val="0"/>
              <w:jc w:val="center"/>
              <w:rPr>
                <w:rFonts w:hint="eastAsia" w:ascii="宋体" w:hAnsi="宋体" w:cs="宋体"/>
                <w:spacing w:val="4"/>
                <w:sz w:val="18"/>
                <w:szCs w:val="21"/>
              </w:rPr>
            </w:pPr>
          </w:p>
        </w:tc>
        <w:tc>
          <w:tcPr>
            <w:tcW w:w="1461" w:type="dxa"/>
            <w:noWrap/>
            <w:vAlign w:val="center"/>
          </w:tcPr>
          <w:p w14:paraId="0BB613DA">
            <w:pPr>
              <w:overflowPunct w:val="0"/>
              <w:jc w:val="center"/>
              <w:rPr>
                <w:rFonts w:hint="eastAsia" w:ascii="宋体" w:hAnsi="宋体" w:cs="宋体"/>
                <w:spacing w:val="4"/>
                <w:sz w:val="18"/>
                <w:szCs w:val="21"/>
              </w:rPr>
            </w:pPr>
          </w:p>
        </w:tc>
        <w:tc>
          <w:tcPr>
            <w:tcW w:w="1106" w:type="dxa"/>
            <w:noWrap/>
            <w:vAlign w:val="center"/>
          </w:tcPr>
          <w:p w14:paraId="63244046">
            <w:pPr>
              <w:overflowPunct w:val="0"/>
              <w:jc w:val="center"/>
              <w:rPr>
                <w:rFonts w:hint="eastAsia" w:ascii="宋体" w:hAnsi="宋体" w:cs="宋体"/>
                <w:spacing w:val="4"/>
                <w:sz w:val="18"/>
                <w:szCs w:val="21"/>
              </w:rPr>
            </w:pPr>
          </w:p>
        </w:tc>
        <w:tc>
          <w:tcPr>
            <w:tcW w:w="1283" w:type="dxa"/>
            <w:noWrap/>
            <w:vAlign w:val="center"/>
          </w:tcPr>
          <w:p w14:paraId="00C2B279">
            <w:pPr>
              <w:overflowPunct w:val="0"/>
              <w:jc w:val="center"/>
              <w:rPr>
                <w:rFonts w:hint="eastAsia" w:ascii="宋体" w:hAnsi="宋体" w:cs="宋体"/>
                <w:spacing w:val="4"/>
                <w:sz w:val="18"/>
                <w:szCs w:val="21"/>
              </w:rPr>
            </w:pPr>
          </w:p>
        </w:tc>
        <w:tc>
          <w:tcPr>
            <w:tcW w:w="1283" w:type="dxa"/>
            <w:noWrap/>
            <w:vAlign w:val="center"/>
          </w:tcPr>
          <w:p w14:paraId="484574CB">
            <w:pPr>
              <w:overflowPunct w:val="0"/>
              <w:jc w:val="center"/>
              <w:rPr>
                <w:rFonts w:hint="eastAsia" w:ascii="宋体" w:hAnsi="宋体" w:cs="宋体"/>
                <w:spacing w:val="4"/>
                <w:sz w:val="18"/>
                <w:szCs w:val="21"/>
              </w:rPr>
            </w:pPr>
          </w:p>
        </w:tc>
        <w:tc>
          <w:tcPr>
            <w:tcW w:w="1284" w:type="dxa"/>
            <w:noWrap/>
            <w:vAlign w:val="center"/>
          </w:tcPr>
          <w:p w14:paraId="2B9E695D">
            <w:pPr>
              <w:overflowPunct w:val="0"/>
              <w:jc w:val="center"/>
              <w:rPr>
                <w:rFonts w:hint="eastAsia" w:ascii="宋体" w:hAnsi="宋体" w:cs="宋体"/>
                <w:spacing w:val="4"/>
                <w:sz w:val="18"/>
                <w:szCs w:val="21"/>
              </w:rPr>
            </w:pPr>
          </w:p>
        </w:tc>
      </w:tr>
    </w:tbl>
    <w:p w14:paraId="74F7C02F">
      <w:pPr>
        <w:overflowPunct w:val="0"/>
        <w:rPr>
          <w:rFonts w:hint="eastAsia" w:ascii="宋体" w:hAnsi="宋体" w:cs="宋体"/>
          <w:b/>
          <w:spacing w:val="4"/>
          <w:sz w:val="28"/>
        </w:rPr>
      </w:pPr>
      <w:bookmarkStart w:id="72" w:name="_Toc18439"/>
      <w:bookmarkStart w:id="73" w:name="_Toc934"/>
      <w:bookmarkStart w:id="74" w:name="_Toc26000"/>
    </w:p>
    <w:p w14:paraId="5F94D444">
      <w:pPr>
        <w:overflowPunct w:val="0"/>
        <w:outlineLvl w:val="0"/>
        <w:rPr>
          <w:rFonts w:hint="eastAsia" w:ascii="宋体" w:hAnsi="宋体" w:cs="宋体"/>
          <w:b/>
          <w:spacing w:val="4"/>
        </w:rPr>
      </w:pPr>
      <w:bookmarkStart w:id="75" w:name="_Toc8732"/>
      <w:bookmarkStart w:id="76" w:name="_Toc32143"/>
      <w:bookmarkStart w:id="77" w:name="_Toc28606"/>
      <w:bookmarkStart w:id="78" w:name="_Toc30006"/>
      <w:bookmarkStart w:id="79" w:name="_Toc18070"/>
      <w:bookmarkStart w:id="80" w:name="_Toc2658"/>
      <w:bookmarkStart w:id="81" w:name="_Toc5694"/>
      <w:r>
        <w:rPr>
          <w:rFonts w:hint="eastAsia" w:ascii="宋体" w:hAnsi="宋体" w:cs="宋体"/>
          <w:b/>
          <w:spacing w:val="4"/>
          <w:sz w:val="28"/>
        </w:rPr>
        <w:t>附表C ：差异表</w:t>
      </w:r>
      <w:bookmarkEnd w:id="72"/>
      <w:bookmarkEnd w:id="73"/>
      <w:bookmarkEnd w:id="74"/>
      <w:bookmarkEnd w:id="75"/>
      <w:bookmarkEnd w:id="76"/>
      <w:bookmarkEnd w:id="77"/>
      <w:bookmarkEnd w:id="78"/>
      <w:bookmarkEnd w:id="79"/>
      <w:bookmarkEnd w:id="80"/>
      <w:bookmarkEnd w:id="81"/>
    </w:p>
    <w:p w14:paraId="6BA02505">
      <w:pPr>
        <w:numPr>
          <w:ilvl w:val="1"/>
          <w:numId w:val="47"/>
        </w:numPr>
        <w:tabs>
          <w:tab w:val="clear" w:pos="780"/>
        </w:tabs>
        <w:overflowPunct w:val="0"/>
        <w:ind w:left="194" w:hanging="194" w:hangingChars="89"/>
        <w:rPr>
          <w:rFonts w:hint="eastAsia" w:ascii="宋体" w:hAnsi="宋体" w:cs="宋体"/>
          <w:spacing w:val="4"/>
        </w:rPr>
      </w:pPr>
      <w:r>
        <w:rPr>
          <w:rFonts w:hint="eastAsia" w:ascii="宋体" w:hAnsi="宋体" w:cs="宋体"/>
          <w:spacing w:val="4"/>
        </w:rPr>
        <w:t>一般要求</w:t>
      </w:r>
    </w:p>
    <w:p w14:paraId="79B9155E">
      <w:pPr>
        <w:numPr>
          <w:ilvl w:val="1"/>
          <w:numId w:val="48"/>
        </w:numPr>
        <w:tabs>
          <w:tab w:val="clear" w:pos="360"/>
        </w:tabs>
        <w:overflowPunct w:val="0"/>
        <w:rPr>
          <w:rFonts w:hint="eastAsia" w:ascii="宋体" w:hAnsi="宋体" w:cs="宋体"/>
          <w:spacing w:val="4"/>
        </w:rPr>
      </w:pPr>
      <w:r>
        <w:rPr>
          <w:rFonts w:hint="eastAsia" w:ascii="宋体" w:hAnsi="宋体" w:cs="宋体"/>
          <w:spacing w:val="4"/>
        </w:rPr>
        <w:t>投标人要将投标文件和招标文件的差异之处汇集表。</w:t>
      </w:r>
    </w:p>
    <w:p w14:paraId="4C75AE5C">
      <w:pPr>
        <w:numPr>
          <w:ilvl w:val="1"/>
          <w:numId w:val="48"/>
        </w:numPr>
        <w:tabs>
          <w:tab w:val="clear" w:pos="360"/>
        </w:tabs>
        <w:overflowPunct w:val="0"/>
        <w:rPr>
          <w:rFonts w:hint="eastAsia" w:ascii="宋体" w:hAnsi="宋体" w:cs="宋体"/>
          <w:spacing w:val="4"/>
        </w:rPr>
      </w:pPr>
      <w:r>
        <w:rPr>
          <w:rFonts w:hint="eastAsia" w:ascii="宋体" w:hAnsi="宋体" w:cs="宋体"/>
          <w:spacing w:val="4"/>
        </w:rPr>
        <w:t>技术条款和合同条款要单独列表。</w:t>
      </w:r>
    </w:p>
    <w:p w14:paraId="59AED8F6">
      <w:pPr>
        <w:numPr>
          <w:ilvl w:val="1"/>
          <w:numId w:val="48"/>
        </w:numPr>
        <w:tabs>
          <w:tab w:val="clear" w:pos="360"/>
        </w:tabs>
        <w:overflowPunct w:val="0"/>
        <w:spacing w:before="156" w:beforeLines="50" w:after="156" w:afterLines="50"/>
        <w:ind w:left="363" w:hanging="363"/>
        <w:rPr>
          <w:rFonts w:hint="eastAsia" w:ascii="宋体" w:hAnsi="宋体" w:cs="宋体"/>
          <w:b/>
          <w:bCs/>
          <w:spacing w:val="4"/>
        </w:rPr>
      </w:pPr>
      <w:r>
        <w:rPr>
          <w:rFonts w:hint="eastAsia" w:ascii="宋体" w:hAnsi="宋体" w:cs="宋体"/>
          <w:b/>
          <w:bCs/>
          <w:szCs w:val="21"/>
        </w:rPr>
        <w:t>★</w:t>
      </w:r>
      <w:r>
        <w:rPr>
          <w:rFonts w:hint="eastAsia" w:ascii="宋体" w:hAnsi="宋体" w:cs="宋体"/>
          <w:b/>
          <w:bCs/>
          <w:spacing w:val="4"/>
        </w:rPr>
        <w:t>技术标书和商务标书中如果无《差异表》，则废标。</w:t>
      </w:r>
    </w:p>
    <w:p w14:paraId="23C63188">
      <w:pPr>
        <w:numPr>
          <w:ilvl w:val="1"/>
          <w:numId w:val="47"/>
        </w:numPr>
        <w:tabs>
          <w:tab w:val="clear" w:pos="780"/>
        </w:tabs>
        <w:overflowPunct w:val="0"/>
        <w:ind w:left="194" w:hanging="194" w:hangingChars="89"/>
        <w:rPr>
          <w:rFonts w:hint="eastAsia" w:ascii="宋体" w:hAnsi="宋体" w:cs="宋体"/>
          <w:spacing w:val="4"/>
        </w:rPr>
      </w:pPr>
      <w:r>
        <w:rPr>
          <w:rFonts w:hint="eastAsia" w:ascii="宋体" w:hAnsi="宋体" w:cs="宋体"/>
          <w:spacing w:val="4"/>
        </w:rPr>
        <w:t>技术条款/合同商务条款差异表。</w:t>
      </w:r>
    </w:p>
    <w:tbl>
      <w:tblPr>
        <w:tblStyle w:val="44"/>
        <w:tblW w:w="8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290"/>
        <w:gridCol w:w="1470"/>
        <w:gridCol w:w="1090"/>
        <w:gridCol w:w="1300"/>
        <w:gridCol w:w="2562"/>
      </w:tblGrid>
      <w:tr w14:paraId="58B94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15" w:type="dxa"/>
            <w:vMerge w:val="restart"/>
            <w:noWrap/>
            <w:vAlign w:val="center"/>
          </w:tcPr>
          <w:p w14:paraId="0566F1EC">
            <w:pPr>
              <w:overflowPunct w:val="0"/>
              <w:jc w:val="center"/>
              <w:rPr>
                <w:rFonts w:hint="eastAsia" w:ascii="宋体" w:hAnsi="宋体" w:cs="宋体"/>
                <w:spacing w:val="4"/>
              </w:rPr>
            </w:pPr>
            <w:r>
              <w:rPr>
                <w:rFonts w:hint="eastAsia" w:ascii="宋体" w:hAnsi="宋体" w:cs="宋体"/>
                <w:spacing w:val="4"/>
              </w:rPr>
              <w:t>序号</w:t>
            </w:r>
          </w:p>
        </w:tc>
        <w:tc>
          <w:tcPr>
            <w:tcW w:w="2760" w:type="dxa"/>
            <w:gridSpan w:val="2"/>
            <w:noWrap/>
            <w:vAlign w:val="center"/>
          </w:tcPr>
          <w:p w14:paraId="595B9119">
            <w:pPr>
              <w:overflowPunct w:val="0"/>
              <w:jc w:val="center"/>
              <w:rPr>
                <w:rFonts w:hint="eastAsia" w:ascii="宋体" w:hAnsi="宋体" w:cs="宋体"/>
                <w:spacing w:val="4"/>
              </w:rPr>
            </w:pPr>
            <w:r>
              <w:rPr>
                <w:rFonts w:hint="eastAsia" w:ascii="宋体" w:hAnsi="宋体" w:cs="宋体"/>
                <w:spacing w:val="4"/>
              </w:rPr>
              <w:t>招标文件</w:t>
            </w:r>
          </w:p>
        </w:tc>
        <w:tc>
          <w:tcPr>
            <w:tcW w:w="4952" w:type="dxa"/>
            <w:gridSpan w:val="3"/>
            <w:noWrap/>
            <w:vAlign w:val="center"/>
          </w:tcPr>
          <w:p w14:paraId="28DA45EC">
            <w:pPr>
              <w:overflowPunct w:val="0"/>
              <w:jc w:val="center"/>
              <w:rPr>
                <w:rFonts w:hint="eastAsia" w:ascii="宋体" w:hAnsi="宋体" w:cs="宋体"/>
                <w:spacing w:val="4"/>
              </w:rPr>
            </w:pPr>
            <w:r>
              <w:rPr>
                <w:rFonts w:hint="eastAsia" w:ascii="宋体" w:hAnsi="宋体" w:cs="宋体"/>
                <w:spacing w:val="4"/>
              </w:rPr>
              <w:t>投标文件</w:t>
            </w:r>
          </w:p>
        </w:tc>
      </w:tr>
      <w:tr w14:paraId="2D5EB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15" w:type="dxa"/>
            <w:vMerge w:val="continue"/>
            <w:noWrap/>
            <w:vAlign w:val="center"/>
          </w:tcPr>
          <w:p w14:paraId="55E8AF2B">
            <w:pPr>
              <w:overflowPunct w:val="0"/>
              <w:jc w:val="center"/>
              <w:rPr>
                <w:rFonts w:hint="eastAsia" w:ascii="宋体" w:hAnsi="宋体" w:cs="宋体"/>
                <w:spacing w:val="4"/>
              </w:rPr>
            </w:pPr>
          </w:p>
        </w:tc>
        <w:tc>
          <w:tcPr>
            <w:tcW w:w="1290" w:type="dxa"/>
            <w:noWrap/>
            <w:vAlign w:val="center"/>
          </w:tcPr>
          <w:p w14:paraId="5A94F935">
            <w:pPr>
              <w:overflowPunct w:val="0"/>
              <w:jc w:val="center"/>
              <w:rPr>
                <w:rFonts w:hint="eastAsia" w:ascii="宋体" w:hAnsi="宋体" w:cs="宋体"/>
                <w:spacing w:val="4"/>
              </w:rPr>
            </w:pPr>
            <w:r>
              <w:rPr>
                <w:rFonts w:hint="eastAsia" w:ascii="宋体" w:hAnsi="宋体" w:cs="宋体"/>
                <w:spacing w:val="4"/>
              </w:rPr>
              <w:t>条目</w:t>
            </w:r>
          </w:p>
        </w:tc>
        <w:tc>
          <w:tcPr>
            <w:tcW w:w="1470" w:type="dxa"/>
            <w:noWrap/>
            <w:vAlign w:val="center"/>
          </w:tcPr>
          <w:p w14:paraId="2029585F">
            <w:pPr>
              <w:overflowPunct w:val="0"/>
              <w:jc w:val="center"/>
              <w:rPr>
                <w:rFonts w:hint="eastAsia" w:ascii="宋体" w:hAnsi="宋体" w:cs="宋体"/>
                <w:spacing w:val="4"/>
              </w:rPr>
            </w:pPr>
            <w:r>
              <w:rPr>
                <w:rFonts w:hint="eastAsia" w:ascii="宋体" w:hAnsi="宋体" w:cs="宋体"/>
                <w:spacing w:val="4"/>
              </w:rPr>
              <w:t>简要内容</w:t>
            </w:r>
          </w:p>
        </w:tc>
        <w:tc>
          <w:tcPr>
            <w:tcW w:w="1090" w:type="dxa"/>
            <w:noWrap/>
            <w:vAlign w:val="center"/>
          </w:tcPr>
          <w:p w14:paraId="6D30007D">
            <w:pPr>
              <w:overflowPunct w:val="0"/>
              <w:jc w:val="center"/>
              <w:rPr>
                <w:rFonts w:hint="eastAsia" w:ascii="宋体" w:hAnsi="宋体" w:cs="宋体"/>
                <w:spacing w:val="4"/>
              </w:rPr>
            </w:pPr>
            <w:r>
              <w:rPr>
                <w:rFonts w:hint="eastAsia" w:ascii="宋体" w:hAnsi="宋体" w:cs="宋体"/>
                <w:spacing w:val="4"/>
              </w:rPr>
              <w:t>条目</w:t>
            </w:r>
          </w:p>
        </w:tc>
        <w:tc>
          <w:tcPr>
            <w:tcW w:w="1300" w:type="dxa"/>
            <w:noWrap/>
            <w:vAlign w:val="center"/>
          </w:tcPr>
          <w:p w14:paraId="658F9C4A">
            <w:pPr>
              <w:overflowPunct w:val="0"/>
              <w:jc w:val="center"/>
              <w:rPr>
                <w:rFonts w:hint="eastAsia" w:ascii="宋体" w:hAnsi="宋体" w:cs="宋体"/>
                <w:spacing w:val="4"/>
              </w:rPr>
            </w:pPr>
            <w:r>
              <w:rPr>
                <w:rFonts w:hint="eastAsia" w:ascii="宋体" w:hAnsi="宋体" w:cs="宋体"/>
                <w:spacing w:val="4"/>
              </w:rPr>
              <w:t>简要内容</w:t>
            </w:r>
          </w:p>
        </w:tc>
        <w:tc>
          <w:tcPr>
            <w:tcW w:w="2562" w:type="dxa"/>
            <w:noWrap/>
            <w:vAlign w:val="center"/>
          </w:tcPr>
          <w:p w14:paraId="516BBDD7">
            <w:pPr>
              <w:overflowPunct w:val="0"/>
              <w:jc w:val="center"/>
              <w:rPr>
                <w:rFonts w:hint="eastAsia" w:ascii="宋体" w:hAnsi="宋体" w:cs="宋体"/>
                <w:spacing w:val="4"/>
              </w:rPr>
            </w:pPr>
            <w:r>
              <w:rPr>
                <w:rFonts w:hint="eastAsia" w:ascii="宋体" w:hAnsi="宋体" w:cs="宋体"/>
                <w:b/>
                <w:bCs/>
                <w:spacing w:val="4"/>
              </w:rPr>
              <w:t>结论（优于/响应/偏离）</w:t>
            </w:r>
          </w:p>
        </w:tc>
      </w:tr>
      <w:tr w14:paraId="62AA2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15" w:type="dxa"/>
            <w:noWrap/>
            <w:vAlign w:val="center"/>
          </w:tcPr>
          <w:p w14:paraId="26A102CD">
            <w:pPr>
              <w:overflowPunct w:val="0"/>
              <w:jc w:val="center"/>
              <w:rPr>
                <w:rFonts w:hint="eastAsia" w:ascii="宋体" w:hAnsi="宋体" w:cs="宋体"/>
                <w:spacing w:val="4"/>
              </w:rPr>
            </w:pPr>
            <w:r>
              <w:rPr>
                <w:rFonts w:hint="eastAsia" w:ascii="宋体" w:hAnsi="宋体" w:cs="宋体"/>
                <w:spacing w:val="4"/>
              </w:rPr>
              <w:t>1</w:t>
            </w:r>
          </w:p>
        </w:tc>
        <w:tc>
          <w:tcPr>
            <w:tcW w:w="1290" w:type="dxa"/>
            <w:noWrap/>
            <w:vAlign w:val="center"/>
          </w:tcPr>
          <w:p w14:paraId="09F54CD7">
            <w:pPr>
              <w:overflowPunct w:val="0"/>
              <w:jc w:val="center"/>
              <w:rPr>
                <w:rFonts w:hint="eastAsia" w:ascii="宋体" w:hAnsi="宋体" w:cs="宋体"/>
                <w:spacing w:val="4"/>
              </w:rPr>
            </w:pPr>
          </w:p>
        </w:tc>
        <w:tc>
          <w:tcPr>
            <w:tcW w:w="1470" w:type="dxa"/>
            <w:noWrap/>
            <w:vAlign w:val="center"/>
          </w:tcPr>
          <w:p w14:paraId="229189D5">
            <w:pPr>
              <w:overflowPunct w:val="0"/>
              <w:jc w:val="center"/>
              <w:rPr>
                <w:rFonts w:hint="eastAsia" w:ascii="宋体" w:hAnsi="宋体" w:cs="宋体"/>
                <w:spacing w:val="4"/>
              </w:rPr>
            </w:pPr>
          </w:p>
        </w:tc>
        <w:tc>
          <w:tcPr>
            <w:tcW w:w="1090" w:type="dxa"/>
            <w:noWrap/>
            <w:vAlign w:val="center"/>
          </w:tcPr>
          <w:p w14:paraId="44616CEC">
            <w:pPr>
              <w:overflowPunct w:val="0"/>
              <w:jc w:val="center"/>
              <w:rPr>
                <w:rFonts w:hint="eastAsia" w:ascii="宋体" w:hAnsi="宋体" w:cs="宋体"/>
                <w:spacing w:val="4"/>
              </w:rPr>
            </w:pPr>
          </w:p>
        </w:tc>
        <w:tc>
          <w:tcPr>
            <w:tcW w:w="1300" w:type="dxa"/>
            <w:noWrap/>
            <w:vAlign w:val="center"/>
          </w:tcPr>
          <w:p w14:paraId="689C6A94">
            <w:pPr>
              <w:overflowPunct w:val="0"/>
              <w:jc w:val="center"/>
              <w:rPr>
                <w:rFonts w:hint="eastAsia" w:ascii="宋体" w:hAnsi="宋体" w:cs="宋体"/>
                <w:spacing w:val="4"/>
              </w:rPr>
            </w:pPr>
          </w:p>
        </w:tc>
        <w:tc>
          <w:tcPr>
            <w:tcW w:w="2562" w:type="dxa"/>
            <w:noWrap/>
            <w:vAlign w:val="center"/>
          </w:tcPr>
          <w:p w14:paraId="53B1AF98">
            <w:pPr>
              <w:overflowPunct w:val="0"/>
              <w:jc w:val="center"/>
              <w:rPr>
                <w:rFonts w:hint="eastAsia" w:ascii="宋体" w:hAnsi="宋体" w:cs="宋体"/>
                <w:spacing w:val="4"/>
              </w:rPr>
            </w:pPr>
          </w:p>
        </w:tc>
      </w:tr>
      <w:tr w14:paraId="38AB3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815" w:type="dxa"/>
            <w:noWrap/>
            <w:vAlign w:val="center"/>
          </w:tcPr>
          <w:p w14:paraId="35E9BD24">
            <w:pPr>
              <w:overflowPunct w:val="0"/>
              <w:jc w:val="center"/>
              <w:rPr>
                <w:rFonts w:hint="eastAsia" w:ascii="宋体" w:hAnsi="宋体" w:cs="宋体"/>
                <w:spacing w:val="4"/>
              </w:rPr>
            </w:pPr>
            <w:r>
              <w:rPr>
                <w:rFonts w:hint="eastAsia" w:ascii="宋体" w:hAnsi="宋体" w:cs="宋体"/>
                <w:spacing w:val="4"/>
              </w:rPr>
              <w:t>2</w:t>
            </w:r>
          </w:p>
        </w:tc>
        <w:tc>
          <w:tcPr>
            <w:tcW w:w="1290" w:type="dxa"/>
            <w:noWrap/>
            <w:vAlign w:val="center"/>
          </w:tcPr>
          <w:p w14:paraId="6309DA6E">
            <w:pPr>
              <w:overflowPunct w:val="0"/>
              <w:jc w:val="center"/>
              <w:rPr>
                <w:rFonts w:hint="eastAsia" w:ascii="宋体" w:hAnsi="宋体" w:cs="宋体"/>
                <w:spacing w:val="4"/>
              </w:rPr>
            </w:pPr>
          </w:p>
        </w:tc>
        <w:tc>
          <w:tcPr>
            <w:tcW w:w="1470" w:type="dxa"/>
            <w:noWrap/>
            <w:vAlign w:val="center"/>
          </w:tcPr>
          <w:p w14:paraId="0C0D8B53">
            <w:pPr>
              <w:overflowPunct w:val="0"/>
              <w:jc w:val="center"/>
              <w:rPr>
                <w:rFonts w:hint="eastAsia" w:ascii="宋体" w:hAnsi="宋体" w:cs="宋体"/>
                <w:spacing w:val="4"/>
              </w:rPr>
            </w:pPr>
          </w:p>
        </w:tc>
        <w:tc>
          <w:tcPr>
            <w:tcW w:w="1090" w:type="dxa"/>
            <w:noWrap/>
            <w:vAlign w:val="center"/>
          </w:tcPr>
          <w:p w14:paraId="7EA6AF10">
            <w:pPr>
              <w:overflowPunct w:val="0"/>
              <w:jc w:val="center"/>
              <w:rPr>
                <w:rFonts w:hint="eastAsia" w:ascii="宋体" w:hAnsi="宋体" w:cs="宋体"/>
                <w:spacing w:val="4"/>
              </w:rPr>
            </w:pPr>
          </w:p>
        </w:tc>
        <w:tc>
          <w:tcPr>
            <w:tcW w:w="1300" w:type="dxa"/>
            <w:noWrap/>
            <w:vAlign w:val="center"/>
          </w:tcPr>
          <w:p w14:paraId="5B96F6B1">
            <w:pPr>
              <w:overflowPunct w:val="0"/>
              <w:jc w:val="center"/>
              <w:rPr>
                <w:rFonts w:hint="eastAsia" w:ascii="宋体" w:hAnsi="宋体" w:cs="宋体"/>
                <w:spacing w:val="4"/>
              </w:rPr>
            </w:pPr>
          </w:p>
        </w:tc>
        <w:tc>
          <w:tcPr>
            <w:tcW w:w="2562" w:type="dxa"/>
            <w:noWrap/>
            <w:vAlign w:val="center"/>
          </w:tcPr>
          <w:p w14:paraId="4982C422">
            <w:pPr>
              <w:overflowPunct w:val="0"/>
              <w:jc w:val="center"/>
              <w:rPr>
                <w:rFonts w:hint="eastAsia" w:ascii="宋体" w:hAnsi="宋体" w:cs="宋体"/>
                <w:spacing w:val="4"/>
              </w:rPr>
            </w:pPr>
          </w:p>
        </w:tc>
      </w:tr>
    </w:tbl>
    <w:p w14:paraId="1AB98265">
      <w:pPr>
        <w:overflowPunct w:val="0"/>
        <w:rPr>
          <w:rFonts w:hint="eastAsia" w:ascii="宋体" w:hAnsi="宋体" w:cs="宋体"/>
          <w:b/>
          <w:sz w:val="28"/>
        </w:rPr>
      </w:pPr>
      <w:bookmarkStart w:id="82" w:name="_Toc17397"/>
      <w:r>
        <w:rPr>
          <w:rFonts w:hint="eastAsia" w:ascii="宋体" w:hAnsi="宋体" w:cs="宋体"/>
          <w:spacing w:val="4"/>
        </w:rPr>
        <w:t xml:space="preserve"> </w:t>
      </w:r>
      <w:r>
        <w:rPr>
          <w:rFonts w:hint="eastAsia" w:ascii="宋体" w:hAnsi="宋体" w:cs="宋体"/>
          <w:b/>
          <w:bCs/>
          <w:spacing w:val="4"/>
        </w:rPr>
        <w:t>注：有差异必须填写该表；如果无差异，可以不填，表示投标方承诺全部响应。</w:t>
      </w:r>
      <w:bookmarkStart w:id="83" w:name="_Toc14321"/>
      <w:bookmarkStart w:id="84" w:name="_Toc7167"/>
      <w:r>
        <w:rPr>
          <w:rFonts w:hint="eastAsia" w:ascii="宋体" w:hAnsi="宋体" w:cs="宋体"/>
          <w:b/>
          <w:sz w:val="28"/>
        </w:rPr>
        <w:br w:type="page"/>
      </w:r>
    </w:p>
    <w:p w14:paraId="59CC2286">
      <w:pPr>
        <w:overflowPunct w:val="0"/>
        <w:outlineLvl w:val="0"/>
        <w:rPr>
          <w:rFonts w:hint="eastAsia" w:ascii="宋体" w:hAnsi="宋体" w:cs="宋体"/>
          <w:b/>
          <w:sz w:val="28"/>
        </w:rPr>
      </w:pPr>
      <w:bookmarkStart w:id="85" w:name="_Toc6911"/>
      <w:bookmarkStart w:id="86" w:name="_Toc6544"/>
      <w:bookmarkStart w:id="87" w:name="_Toc24513"/>
      <w:bookmarkStart w:id="88" w:name="_Toc18443"/>
      <w:bookmarkStart w:id="89" w:name="_Toc5955"/>
      <w:bookmarkStart w:id="90" w:name="_Toc12015"/>
      <w:bookmarkStart w:id="91" w:name="_Toc2793"/>
      <w:r>
        <w:rPr>
          <w:rFonts w:hint="eastAsia" w:ascii="宋体" w:hAnsi="宋体" w:cs="宋体"/>
          <w:b/>
          <w:sz w:val="28"/>
        </w:rPr>
        <w:t>附：投标书格式</w:t>
      </w:r>
      <w:bookmarkEnd w:id="82"/>
      <w:bookmarkEnd w:id="83"/>
      <w:bookmarkEnd w:id="84"/>
      <w:bookmarkEnd w:id="85"/>
      <w:bookmarkEnd w:id="86"/>
      <w:bookmarkEnd w:id="87"/>
      <w:bookmarkEnd w:id="88"/>
      <w:bookmarkEnd w:id="89"/>
      <w:bookmarkEnd w:id="90"/>
      <w:bookmarkEnd w:id="91"/>
    </w:p>
    <w:p w14:paraId="0755539D">
      <w:pPr>
        <w:overflowPunct w:val="0"/>
        <w:jc w:val="center"/>
        <w:rPr>
          <w:rFonts w:hint="eastAsia" w:ascii="宋体" w:hAnsi="宋体" w:cs="宋体"/>
          <w:b/>
          <w:sz w:val="44"/>
        </w:rPr>
      </w:pPr>
      <w:r>
        <w:rPr>
          <w:rFonts w:hint="eastAsia" w:ascii="宋体" w:hAnsi="宋体" w:cs="宋体"/>
          <w:b/>
          <w:sz w:val="44"/>
        </w:rPr>
        <w:t>投标书</w:t>
      </w:r>
    </w:p>
    <w:p w14:paraId="6F7554D8">
      <w:pPr>
        <w:overflowPunct w:val="0"/>
        <w:jc w:val="center"/>
        <w:rPr>
          <w:rFonts w:hint="eastAsia" w:ascii="宋体" w:hAnsi="宋体" w:cs="宋体"/>
          <w:b/>
          <w:sz w:val="28"/>
        </w:rPr>
      </w:pPr>
    </w:p>
    <w:p w14:paraId="0344E61F">
      <w:pPr>
        <w:overflowPunct w:val="0"/>
        <w:ind w:left="2518" w:leftChars="1199"/>
        <w:rPr>
          <w:rFonts w:hint="eastAsia" w:ascii="宋体" w:hAnsi="宋体" w:cs="宋体"/>
          <w:b/>
          <w:spacing w:val="4"/>
          <w:sz w:val="28"/>
        </w:rPr>
      </w:pPr>
      <w:r>
        <w:rPr>
          <w:rFonts w:hint="eastAsia" w:ascii="宋体" w:hAnsi="宋体" w:cs="宋体"/>
          <w:b/>
          <w:spacing w:val="4"/>
          <w:sz w:val="28"/>
        </w:rPr>
        <w:t>标书编号：2025-15-技改-027/028</w:t>
      </w:r>
    </w:p>
    <w:p w14:paraId="053CEC49">
      <w:pPr>
        <w:overflowPunct w:val="0"/>
        <w:ind w:left="2518" w:leftChars="1199"/>
        <w:rPr>
          <w:rFonts w:hint="eastAsia" w:ascii="宋体" w:hAnsi="宋体" w:cs="宋体"/>
          <w:b/>
          <w:spacing w:val="4"/>
          <w:sz w:val="28"/>
        </w:rPr>
      </w:pPr>
    </w:p>
    <w:p w14:paraId="0D4168C5">
      <w:pPr>
        <w:overflowPunct w:val="0"/>
        <w:ind w:left="2518" w:leftChars="1199"/>
        <w:rPr>
          <w:rFonts w:hint="eastAsia" w:ascii="宋体" w:hAnsi="宋体" w:cs="宋体"/>
          <w:b/>
          <w:spacing w:val="4"/>
          <w:sz w:val="28"/>
        </w:rPr>
      </w:pPr>
      <w:r>
        <w:rPr>
          <w:rFonts w:hint="eastAsia" w:ascii="宋体" w:hAnsi="宋体" w:cs="宋体"/>
          <w:b/>
          <w:spacing w:val="4"/>
          <w:sz w:val="28"/>
        </w:rPr>
        <w:t>招标内容：焊机自动化改造</w:t>
      </w:r>
    </w:p>
    <w:p w14:paraId="215CF32C">
      <w:pPr>
        <w:pStyle w:val="27"/>
        <w:widowControl w:val="0"/>
        <w:overflowPunct w:val="0"/>
        <w:ind w:left="2518" w:leftChars="1199"/>
        <w:rPr>
          <w:rFonts w:hint="eastAsia" w:ascii="宋体" w:hAnsi="宋体" w:cs="宋体"/>
          <w:kern w:val="2"/>
          <w:szCs w:val="24"/>
        </w:rPr>
      </w:pPr>
    </w:p>
    <w:p w14:paraId="05E9B09D">
      <w:pPr>
        <w:overflowPunct w:val="0"/>
        <w:ind w:left="2518" w:leftChars="1199"/>
        <w:rPr>
          <w:rFonts w:hint="eastAsia" w:ascii="宋体" w:hAnsi="宋体" w:cs="宋体"/>
          <w:b/>
          <w:sz w:val="28"/>
          <w:u w:val="single"/>
        </w:rPr>
      </w:pPr>
      <w:r>
        <w:rPr>
          <w:rFonts w:hint="eastAsia" w:ascii="宋体" w:hAnsi="宋体" w:cs="宋体"/>
          <w:b/>
          <w:sz w:val="28"/>
        </w:rPr>
        <w:t>投标单位：</w:t>
      </w:r>
    </w:p>
    <w:p w14:paraId="71292A82">
      <w:pPr>
        <w:pStyle w:val="27"/>
        <w:widowControl w:val="0"/>
        <w:overflowPunct w:val="0"/>
        <w:ind w:left="2518" w:leftChars="1199"/>
        <w:rPr>
          <w:rFonts w:hint="eastAsia" w:ascii="宋体" w:hAnsi="宋体" w:cs="宋体"/>
          <w:kern w:val="2"/>
          <w:szCs w:val="24"/>
        </w:rPr>
      </w:pPr>
    </w:p>
    <w:p w14:paraId="5350B543">
      <w:pPr>
        <w:overflowPunct w:val="0"/>
        <w:ind w:left="2518" w:leftChars="1199"/>
        <w:rPr>
          <w:rFonts w:hint="eastAsia" w:ascii="宋体" w:hAnsi="宋体" w:cs="宋体"/>
          <w:b/>
          <w:sz w:val="28"/>
          <w:u w:val="single"/>
        </w:rPr>
      </w:pPr>
      <w:r>
        <w:rPr>
          <w:rFonts w:hint="eastAsia" w:ascii="宋体" w:hAnsi="宋体" w:cs="宋体"/>
          <w:b/>
          <w:sz w:val="28"/>
        </w:rPr>
        <w:t>投标单位全权代表：</w:t>
      </w:r>
    </w:p>
    <w:p w14:paraId="5A46A4E1">
      <w:pPr>
        <w:overflowPunct w:val="0"/>
        <w:jc w:val="center"/>
        <w:rPr>
          <w:rFonts w:hint="eastAsia" w:ascii="宋体" w:hAnsi="宋体" w:cs="宋体"/>
          <w:b/>
          <w:sz w:val="28"/>
        </w:rPr>
      </w:pPr>
    </w:p>
    <w:p w14:paraId="633027E6">
      <w:pPr>
        <w:overflowPunct w:val="0"/>
        <w:rPr>
          <w:rFonts w:hint="eastAsia" w:ascii="宋体" w:hAnsi="宋体" w:cs="宋体"/>
          <w:b/>
          <w:sz w:val="24"/>
          <w:u w:val="single"/>
        </w:rPr>
      </w:pPr>
      <w:r>
        <w:rPr>
          <w:rFonts w:hint="eastAsia" w:ascii="宋体" w:hAnsi="宋体" w:cs="宋体"/>
          <w:b/>
          <w:sz w:val="96"/>
          <w:szCs w:val="72"/>
        </w:rPr>
        <w:t>标书内容：商务标书/技术标书</w:t>
      </w:r>
      <w:r>
        <w:rPr>
          <w:rFonts w:hint="eastAsia" w:ascii="宋体" w:hAnsi="宋体" w:cs="宋体"/>
          <w:b/>
          <w:sz w:val="24"/>
        </w:rPr>
        <w:t>（根据实际选一个，删除一个）</w:t>
      </w:r>
    </w:p>
    <w:p w14:paraId="49778C6E">
      <w:pPr>
        <w:overflowPunct w:val="0"/>
        <w:jc w:val="left"/>
        <w:rPr>
          <w:rFonts w:hint="eastAsia" w:ascii="宋体" w:hAnsi="宋体" w:cs="宋体"/>
          <w:b/>
          <w:sz w:val="96"/>
          <w:szCs w:val="72"/>
        </w:rPr>
      </w:pPr>
    </w:p>
    <w:p w14:paraId="0A5324B1">
      <w:pPr>
        <w:overflowPunct w:val="0"/>
        <w:ind w:firstLine="2530" w:firstLineChars="900"/>
        <w:rPr>
          <w:rFonts w:hint="eastAsia" w:ascii="宋体" w:hAnsi="宋体" w:cs="宋体"/>
          <w:b/>
          <w:sz w:val="28"/>
        </w:rPr>
      </w:pPr>
      <w:r>
        <w:rPr>
          <w:rFonts w:hint="eastAsia" w:ascii="宋体" w:hAnsi="宋体" w:cs="宋体"/>
          <w:b/>
          <w:sz w:val="28"/>
        </w:rPr>
        <w:t>投标单位：　　　　　　（公章）</w:t>
      </w:r>
    </w:p>
    <w:p w14:paraId="32B34DC7">
      <w:pPr>
        <w:overflowPunct w:val="0"/>
        <w:jc w:val="center"/>
        <w:rPr>
          <w:rFonts w:hint="eastAsia" w:ascii="宋体" w:hAnsi="宋体" w:cs="宋体"/>
          <w:b/>
          <w:sz w:val="28"/>
        </w:rPr>
      </w:pPr>
      <w:r>
        <w:rPr>
          <w:rFonts w:hint="eastAsia" w:ascii="宋体" w:hAnsi="宋体" w:cs="宋体"/>
          <w:b/>
          <w:sz w:val="28"/>
        </w:rPr>
        <w:t>年 　　月　　日</w:t>
      </w:r>
    </w:p>
    <w:p w14:paraId="23BB9CF8">
      <w:pPr>
        <w:overflowPunct w:val="0"/>
        <w:jc w:val="center"/>
        <w:rPr>
          <w:rFonts w:hint="eastAsia" w:ascii="宋体" w:hAnsi="宋体" w:cs="宋体"/>
          <w:b/>
          <w:sz w:val="32"/>
        </w:rPr>
      </w:pPr>
      <w:r>
        <w:rPr>
          <w:rFonts w:hint="eastAsia" w:ascii="宋体" w:hAnsi="宋体" w:cs="宋体"/>
          <w:b/>
          <w:sz w:val="32"/>
        </w:rPr>
        <w:br w:type="page"/>
      </w:r>
      <w:r>
        <w:rPr>
          <w:rFonts w:hint="eastAsia" w:ascii="宋体" w:hAnsi="宋体" w:cs="宋体"/>
          <w:b/>
          <w:sz w:val="32"/>
        </w:rPr>
        <w:t>投　标　书</w:t>
      </w:r>
    </w:p>
    <w:p w14:paraId="6F81891E">
      <w:pPr>
        <w:overflowPunct w:val="0"/>
        <w:rPr>
          <w:rFonts w:hint="eastAsia" w:ascii="宋体" w:hAnsi="宋体" w:cs="宋体"/>
          <w:b/>
          <w:bCs/>
          <w:sz w:val="24"/>
        </w:rPr>
      </w:pPr>
      <w:r>
        <w:rPr>
          <w:rFonts w:hint="eastAsia" w:ascii="宋体" w:hAnsi="宋体" w:cs="宋体"/>
          <w:b/>
          <w:bCs/>
          <w:sz w:val="24"/>
        </w:rPr>
        <w:t>致：加西贝拉压缩机有限公司</w:t>
      </w:r>
    </w:p>
    <w:p w14:paraId="5776387C">
      <w:pPr>
        <w:overflowPunct w:val="0"/>
        <w:ind w:firstLine="573"/>
        <w:jc w:val="distribute"/>
        <w:rPr>
          <w:rFonts w:hint="eastAsia" w:ascii="宋体" w:hAnsi="宋体" w:cs="宋体"/>
          <w:spacing w:val="4"/>
        </w:rPr>
      </w:pPr>
      <w:r>
        <w:rPr>
          <w:rFonts w:hint="eastAsia" w:ascii="宋体" w:hAnsi="宋体" w:cs="宋体"/>
          <w:spacing w:val="4"/>
        </w:rPr>
        <w:t xml:space="preserve">根据贵方为 </w:t>
      </w:r>
      <w:r>
        <w:rPr>
          <w:rFonts w:hint="eastAsia" w:ascii="宋体" w:hAnsi="宋体" w:cs="宋体"/>
          <w:b/>
          <w:bCs/>
          <w:spacing w:val="4"/>
          <w:u w:val="single"/>
        </w:rPr>
        <w:t xml:space="preserve">  焊机自动化改造  </w:t>
      </w:r>
      <w:r>
        <w:rPr>
          <w:rFonts w:hint="eastAsia" w:ascii="宋体" w:hAnsi="宋体" w:cs="宋体"/>
          <w:b/>
          <w:bCs/>
          <w:spacing w:val="4"/>
        </w:rPr>
        <w:t xml:space="preserve"> </w:t>
      </w:r>
      <w:r>
        <w:rPr>
          <w:rFonts w:hint="eastAsia" w:ascii="宋体" w:hAnsi="宋体" w:cs="宋体"/>
          <w:spacing w:val="4"/>
        </w:rPr>
        <w:t>项目招标采购货物及服务的投标邀请，</w:t>
      </w:r>
    </w:p>
    <w:p w14:paraId="6D61DF29">
      <w:pPr>
        <w:overflowPunct w:val="0"/>
        <w:ind w:firstLine="570"/>
        <w:rPr>
          <w:rFonts w:hint="eastAsia" w:ascii="宋体" w:hAnsi="宋体" w:cs="宋体"/>
          <w:spacing w:val="4"/>
        </w:rPr>
      </w:pPr>
      <w:r>
        <w:rPr>
          <w:rFonts w:hint="eastAsia" w:ascii="宋体" w:hAnsi="宋体" w:cs="宋体"/>
          <w:spacing w:val="4"/>
        </w:rPr>
        <w:t xml:space="preserve">标书编号 </w:t>
      </w:r>
      <w:r>
        <w:rPr>
          <w:rFonts w:hint="eastAsia" w:ascii="宋体" w:hAnsi="宋体" w:cs="宋体"/>
          <w:b/>
          <w:bCs/>
          <w:spacing w:val="4"/>
          <w:u w:val="single"/>
        </w:rPr>
        <w:t xml:space="preserve">  2025-15-技改-027/028  </w:t>
      </w:r>
      <w:r>
        <w:rPr>
          <w:rFonts w:hint="eastAsia" w:ascii="宋体" w:hAnsi="宋体" w:cs="宋体"/>
          <w:b/>
          <w:bCs/>
          <w:spacing w:val="4"/>
        </w:rPr>
        <w:t xml:space="preserve"> </w:t>
      </w:r>
      <w:r>
        <w:rPr>
          <w:rFonts w:hint="eastAsia" w:ascii="宋体" w:hAnsi="宋体" w:cs="宋体"/>
        </w:rPr>
        <w:t>，</w:t>
      </w:r>
      <w:r>
        <w:rPr>
          <w:rFonts w:hint="eastAsia" w:ascii="宋体" w:hAnsi="宋体" w:cs="宋体"/>
          <w:spacing w:val="4"/>
        </w:rPr>
        <w:t xml:space="preserve">签字代表 </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spacing w:val="4"/>
        </w:rPr>
        <w:t xml:space="preserve">（全名、职务）经正式授权并代表投标人 </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spacing w:val="4"/>
        </w:rPr>
        <w:t>（投标方名称、地址）提交下述文件正本一份和副本一式二份。</w:t>
      </w:r>
    </w:p>
    <w:p w14:paraId="5EBB1A3C">
      <w:pPr>
        <w:overflowPunct w:val="0"/>
        <w:ind w:firstLine="570"/>
        <w:rPr>
          <w:rFonts w:hint="eastAsia" w:ascii="宋体" w:hAnsi="宋体" w:cs="宋体"/>
          <w:spacing w:val="4"/>
        </w:rPr>
      </w:pPr>
      <w:r>
        <w:rPr>
          <w:rFonts w:hint="eastAsia" w:ascii="宋体" w:hAnsi="宋体" w:cs="宋体"/>
          <w:spacing w:val="4"/>
        </w:rPr>
        <w:t>文件清单</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8"/>
        <w:gridCol w:w="3430"/>
        <w:gridCol w:w="797"/>
        <w:gridCol w:w="1762"/>
      </w:tblGrid>
      <w:tr w14:paraId="576BC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2178" w:type="dxa"/>
            <w:noWrap/>
            <w:vAlign w:val="center"/>
          </w:tcPr>
          <w:p w14:paraId="4AEA50D4">
            <w:pPr>
              <w:overflowPunct w:val="0"/>
              <w:ind w:left="-668" w:firstLine="570"/>
              <w:jc w:val="center"/>
              <w:rPr>
                <w:rFonts w:hint="eastAsia" w:ascii="宋体" w:hAnsi="宋体" w:cs="宋体"/>
                <w:spacing w:val="4"/>
                <w:sz w:val="18"/>
                <w:szCs w:val="18"/>
              </w:rPr>
            </w:pPr>
            <w:r>
              <w:rPr>
                <w:rFonts w:hint="eastAsia" w:ascii="宋体" w:hAnsi="宋体" w:cs="宋体"/>
                <w:spacing w:val="4"/>
                <w:sz w:val="18"/>
                <w:szCs w:val="18"/>
              </w:rPr>
              <w:t>序号</w:t>
            </w:r>
          </w:p>
        </w:tc>
        <w:tc>
          <w:tcPr>
            <w:tcW w:w="3430" w:type="dxa"/>
            <w:noWrap/>
            <w:vAlign w:val="center"/>
          </w:tcPr>
          <w:p w14:paraId="1A2BB779">
            <w:pPr>
              <w:overflowPunct w:val="0"/>
              <w:ind w:left="-668" w:firstLine="570"/>
              <w:jc w:val="center"/>
              <w:rPr>
                <w:rFonts w:hint="eastAsia" w:ascii="宋体" w:hAnsi="宋体" w:cs="宋体"/>
                <w:spacing w:val="4"/>
                <w:sz w:val="18"/>
                <w:szCs w:val="18"/>
              </w:rPr>
            </w:pPr>
            <w:r>
              <w:rPr>
                <w:rFonts w:hint="eastAsia" w:ascii="宋体" w:hAnsi="宋体" w:cs="宋体"/>
                <w:spacing w:val="4"/>
                <w:sz w:val="18"/>
                <w:szCs w:val="18"/>
              </w:rPr>
              <w:t>名称</w:t>
            </w:r>
          </w:p>
        </w:tc>
        <w:tc>
          <w:tcPr>
            <w:tcW w:w="797" w:type="dxa"/>
            <w:noWrap/>
            <w:vAlign w:val="center"/>
          </w:tcPr>
          <w:p w14:paraId="1A2A6A5C">
            <w:pPr>
              <w:overflowPunct w:val="0"/>
              <w:jc w:val="center"/>
              <w:rPr>
                <w:rFonts w:hint="eastAsia" w:ascii="宋体" w:hAnsi="宋体" w:cs="宋体"/>
                <w:spacing w:val="4"/>
                <w:sz w:val="18"/>
                <w:szCs w:val="18"/>
              </w:rPr>
            </w:pPr>
            <w:r>
              <w:rPr>
                <w:rFonts w:hint="eastAsia" w:ascii="宋体" w:hAnsi="宋体" w:cs="宋体"/>
                <w:spacing w:val="4"/>
                <w:sz w:val="18"/>
                <w:szCs w:val="18"/>
              </w:rPr>
              <w:t>页数</w:t>
            </w:r>
          </w:p>
        </w:tc>
        <w:tc>
          <w:tcPr>
            <w:tcW w:w="1762" w:type="dxa"/>
            <w:noWrap/>
            <w:vAlign w:val="center"/>
          </w:tcPr>
          <w:p w14:paraId="683F173F">
            <w:pPr>
              <w:overflowPunct w:val="0"/>
              <w:jc w:val="center"/>
              <w:rPr>
                <w:rFonts w:hint="eastAsia" w:ascii="宋体" w:hAnsi="宋体" w:cs="宋体"/>
                <w:spacing w:val="4"/>
                <w:sz w:val="18"/>
                <w:szCs w:val="18"/>
              </w:rPr>
            </w:pPr>
            <w:r>
              <w:rPr>
                <w:rFonts w:hint="eastAsia" w:ascii="宋体" w:hAnsi="宋体" w:cs="宋体"/>
                <w:spacing w:val="4"/>
                <w:sz w:val="18"/>
                <w:szCs w:val="18"/>
              </w:rPr>
              <w:t>备注</w:t>
            </w:r>
          </w:p>
        </w:tc>
      </w:tr>
      <w:tr w14:paraId="7FEAB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2178" w:type="dxa"/>
            <w:noWrap/>
            <w:vAlign w:val="center"/>
          </w:tcPr>
          <w:p w14:paraId="5C78EBED">
            <w:pPr>
              <w:overflowPunct w:val="0"/>
              <w:ind w:left="-668" w:firstLine="570"/>
              <w:jc w:val="center"/>
              <w:rPr>
                <w:rFonts w:hint="eastAsia" w:ascii="宋体" w:hAnsi="宋体" w:cs="宋体"/>
                <w:spacing w:val="4"/>
                <w:sz w:val="18"/>
                <w:szCs w:val="18"/>
              </w:rPr>
            </w:pPr>
            <w:r>
              <w:rPr>
                <w:rFonts w:hint="eastAsia" w:ascii="宋体" w:hAnsi="宋体" w:cs="宋体"/>
                <w:spacing w:val="4"/>
                <w:sz w:val="18"/>
                <w:szCs w:val="18"/>
              </w:rPr>
              <w:t>1</w:t>
            </w:r>
          </w:p>
        </w:tc>
        <w:tc>
          <w:tcPr>
            <w:tcW w:w="3430" w:type="dxa"/>
            <w:noWrap/>
            <w:vAlign w:val="center"/>
          </w:tcPr>
          <w:p w14:paraId="25FFB7FE">
            <w:pPr>
              <w:overflowPunct w:val="0"/>
              <w:ind w:left="-668" w:firstLine="570"/>
              <w:jc w:val="center"/>
              <w:rPr>
                <w:rFonts w:hint="eastAsia" w:ascii="宋体" w:hAnsi="宋体" w:cs="宋体"/>
                <w:spacing w:val="4"/>
                <w:sz w:val="18"/>
                <w:szCs w:val="18"/>
              </w:rPr>
            </w:pPr>
            <w:r>
              <w:rPr>
                <w:rFonts w:hint="eastAsia" w:ascii="宋体" w:hAnsi="宋体" w:cs="宋体"/>
                <w:spacing w:val="4"/>
                <w:sz w:val="18"/>
                <w:szCs w:val="18"/>
              </w:rPr>
              <w:t>法人代表授权书</w:t>
            </w:r>
          </w:p>
        </w:tc>
        <w:tc>
          <w:tcPr>
            <w:tcW w:w="797" w:type="dxa"/>
            <w:noWrap/>
            <w:vAlign w:val="center"/>
          </w:tcPr>
          <w:p w14:paraId="5E425D65">
            <w:pPr>
              <w:overflowPunct w:val="0"/>
              <w:ind w:left="-668" w:firstLine="570"/>
              <w:jc w:val="center"/>
              <w:rPr>
                <w:rFonts w:hint="eastAsia" w:ascii="宋体" w:hAnsi="宋体" w:cs="宋体"/>
                <w:spacing w:val="4"/>
                <w:sz w:val="18"/>
                <w:szCs w:val="18"/>
              </w:rPr>
            </w:pPr>
          </w:p>
        </w:tc>
        <w:tc>
          <w:tcPr>
            <w:tcW w:w="1762" w:type="dxa"/>
            <w:noWrap/>
            <w:vAlign w:val="center"/>
          </w:tcPr>
          <w:p w14:paraId="3305C887">
            <w:pPr>
              <w:overflowPunct w:val="0"/>
              <w:ind w:left="-668" w:firstLine="570"/>
              <w:jc w:val="center"/>
              <w:rPr>
                <w:rFonts w:hint="eastAsia" w:ascii="宋体" w:hAnsi="宋体" w:cs="宋体"/>
                <w:spacing w:val="4"/>
                <w:sz w:val="18"/>
                <w:szCs w:val="18"/>
              </w:rPr>
            </w:pPr>
          </w:p>
        </w:tc>
      </w:tr>
      <w:tr w14:paraId="045A9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jc w:val="center"/>
        </w:trPr>
        <w:tc>
          <w:tcPr>
            <w:tcW w:w="2178" w:type="dxa"/>
            <w:noWrap/>
            <w:vAlign w:val="center"/>
          </w:tcPr>
          <w:p w14:paraId="6BAA9847">
            <w:pPr>
              <w:overflowPunct w:val="0"/>
              <w:ind w:left="-668" w:firstLine="570"/>
              <w:jc w:val="center"/>
              <w:rPr>
                <w:rFonts w:hint="eastAsia" w:ascii="宋体" w:hAnsi="宋体" w:cs="宋体"/>
                <w:spacing w:val="4"/>
                <w:sz w:val="18"/>
                <w:szCs w:val="18"/>
              </w:rPr>
            </w:pPr>
            <w:r>
              <w:rPr>
                <w:rFonts w:hint="eastAsia" w:ascii="宋体" w:hAnsi="宋体" w:cs="宋体"/>
                <w:spacing w:val="4"/>
                <w:sz w:val="18"/>
                <w:szCs w:val="18"/>
              </w:rPr>
              <w:t>2</w:t>
            </w:r>
          </w:p>
        </w:tc>
        <w:tc>
          <w:tcPr>
            <w:tcW w:w="3430" w:type="dxa"/>
            <w:noWrap/>
            <w:vAlign w:val="center"/>
          </w:tcPr>
          <w:p w14:paraId="0AA0DF72">
            <w:pPr>
              <w:overflowPunct w:val="0"/>
              <w:ind w:left="-668" w:firstLine="570"/>
              <w:jc w:val="center"/>
              <w:rPr>
                <w:rFonts w:hint="eastAsia" w:ascii="宋体" w:hAnsi="宋体" w:cs="宋体"/>
                <w:spacing w:val="4"/>
                <w:sz w:val="18"/>
                <w:szCs w:val="18"/>
              </w:rPr>
            </w:pPr>
            <w:r>
              <w:rPr>
                <w:rFonts w:hint="eastAsia" w:ascii="宋体" w:hAnsi="宋体" w:cs="宋体"/>
                <w:spacing w:val="4"/>
                <w:sz w:val="18"/>
                <w:szCs w:val="18"/>
              </w:rPr>
              <w:t>投　标　书</w:t>
            </w:r>
          </w:p>
        </w:tc>
        <w:tc>
          <w:tcPr>
            <w:tcW w:w="797" w:type="dxa"/>
            <w:noWrap/>
            <w:vAlign w:val="center"/>
          </w:tcPr>
          <w:p w14:paraId="58A8D16F">
            <w:pPr>
              <w:overflowPunct w:val="0"/>
              <w:ind w:left="-668" w:firstLine="570"/>
              <w:jc w:val="center"/>
              <w:rPr>
                <w:rFonts w:hint="eastAsia" w:ascii="宋体" w:hAnsi="宋体" w:cs="宋体"/>
                <w:spacing w:val="4"/>
                <w:sz w:val="18"/>
                <w:szCs w:val="18"/>
              </w:rPr>
            </w:pPr>
          </w:p>
        </w:tc>
        <w:tc>
          <w:tcPr>
            <w:tcW w:w="1762" w:type="dxa"/>
            <w:noWrap/>
            <w:vAlign w:val="center"/>
          </w:tcPr>
          <w:p w14:paraId="5F7771EE">
            <w:pPr>
              <w:overflowPunct w:val="0"/>
              <w:ind w:left="-668" w:firstLine="570"/>
              <w:jc w:val="center"/>
              <w:rPr>
                <w:rFonts w:hint="eastAsia" w:ascii="宋体" w:hAnsi="宋体" w:cs="宋体"/>
                <w:spacing w:val="4"/>
                <w:sz w:val="18"/>
                <w:szCs w:val="18"/>
              </w:rPr>
            </w:pPr>
          </w:p>
        </w:tc>
      </w:tr>
      <w:tr w14:paraId="5F3C3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78" w:type="dxa"/>
            <w:noWrap/>
            <w:vAlign w:val="center"/>
          </w:tcPr>
          <w:p w14:paraId="21BE860F">
            <w:pPr>
              <w:overflowPunct w:val="0"/>
              <w:ind w:left="-668" w:firstLine="570"/>
              <w:jc w:val="center"/>
              <w:rPr>
                <w:rFonts w:hint="eastAsia" w:ascii="宋体" w:hAnsi="宋体" w:cs="宋体"/>
                <w:spacing w:val="4"/>
                <w:sz w:val="18"/>
                <w:szCs w:val="18"/>
              </w:rPr>
            </w:pPr>
            <w:r>
              <w:rPr>
                <w:rFonts w:hint="eastAsia" w:ascii="宋体" w:hAnsi="宋体" w:cs="宋体"/>
                <w:spacing w:val="4"/>
                <w:sz w:val="18"/>
                <w:szCs w:val="18"/>
              </w:rPr>
              <w:t>3</w:t>
            </w:r>
          </w:p>
        </w:tc>
        <w:tc>
          <w:tcPr>
            <w:tcW w:w="3430" w:type="dxa"/>
            <w:noWrap/>
            <w:vAlign w:val="center"/>
          </w:tcPr>
          <w:p w14:paraId="2529C125">
            <w:pPr>
              <w:overflowPunct w:val="0"/>
              <w:ind w:left="-668" w:firstLine="570"/>
              <w:jc w:val="center"/>
              <w:rPr>
                <w:rFonts w:hint="eastAsia" w:ascii="宋体" w:hAnsi="宋体" w:cs="宋体"/>
                <w:spacing w:val="4"/>
                <w:sz w:val="18"/>
                <w:szCs w:val="18"/>
              </w:rPr>
            </w:pPr>
            <w:r>
              <w:rPr>
                <w:rFonts w:hint="eastAsia" w:ascii="宋体" w:hAnsi="宋体" w:cs="宋体"/>
                <w:spacing w:val="4"/>
                <w:sz w:val="18"/>
                <w:szCs w:val="18"/>
              </w:rPr>
              <w:t>投标（商务）报价表</w:t>
            </w:r>
          </w:p>
        </w:tc>
        <w:tc>
          <w:tcPr>
            <w:tcW w:w="797" w:type="dxa"/>
            <w:noWrap/>
            <w:vAlign w:val="center"/>
          </w:tcPr>
          <w:p w14:paraId="4DE37E29">
            <w:pPr>
              <w:overflowPunct w:val="0"/>
              <w:ind w:left="-668" w:firstLine="570"/>
              <w:jc w:val="center"/>
              <w:rPr>
                <w:rFonts w:hint="eastAsia" w:ascii="宋体" w:hAnsi="宋体" w:cs="宋体"/>
                <w:spacing w:val="4"/>
                <w:sz w:val="18"/>
                <w:szCs w:val="18"/>
              </w:rPr>
            </w:pPr>
          </w:p>
        </w:tc>
        <w:tc>
          <w:tcPr>
            <w:tcW w:w="1762" w:type="dxa"/>
            <w:noWrap/>
            <w:vAlign w:val="center"/>
          </w:tcPr>
          <w:p w14:paraId="2B6BBCF1">
            <w:pPr>
              <w:overflowPunct w:val="0"/>
              <w:ind w:left="-668" w:firstLine="570"/>
              <w:jc w:val="center"/>
              <w:rPr>
                <w:rFonts w:hint="eastAsia" w:ascii="宋体" w:hAnsi="宋体" w:cs="宋体"/>
                <w:spacing w:val="4"/>
                <w:sz w:val="18"/>
                <w:szCs w:val="18"/>
              </w:rPr>
            </w:pPr>
          </w:p>
        </w:tc>
      </w:tr>
      <w:tr w14:paraId="7E6FF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78" w:type="dxa"/>
            <w:noWrap/>
            <w:vAlign w:val="center"/>
          </w:tcPr>
          <w:p w14:paraId="2559CBDB">
            <w:pPr>
              <w:overflowPunct w:val="0"/>
              <w:ind w:left="-668" w:firstLine="570"/>
              <w:jc w:val="center"/>
              <w:rPr>
                <w:rFonts w:hint="eastAsia" w:ascii="宋体" w:hAnsi="宋体" w:cs="宋体"/>
                <w:spacing w:val="4"/>
                <w:sz w:val="18"/>
                <w:szCs w:val="18"/>
              </w:rPr>
            </w:pPr>
            <w:r>
              <w:rPr>
                <w:rFonts w:hint="eastAsia" w:ascii="宋体" w:hAnsi="宋体" w:cs="宋体"/>
                <w:spacing w:val="4"/>
                <w:sz w:val="18"/>
                <w:szCs w:val="18"/>
              </w:rPr>
              <w:t>4</w:t>
            </w:r>
          </w:p>
        </w:tc>
        <w:tc>
          <w:tcPr>
            <w:tcW w:w="3430" w:type="dxa"/>
            <w:noWrap/>
            <w:vAlign w:val="center"/>
          </w:tcPr>
          <w:p w14:paraId="00EE5E30">
            <w:pPr>
              <w:overflowPunct w:val="0"/>
              <w:ind w:left="-668" w:firstLine="570"/>
              <w:jc w:val="center"/>
              <w:rPr>
                <w:rFonts w:hint="eastAsia" w:ascii="宋体" w:hAnsi="宋体" w:cs="宋体"/>
                <w:spacing w:val="4"/>
                <w:sz w:val="18"/>
                <w:szCs w:val="18"/>
              </w:rPr>
            </w:pPr>
            <w:r>
              <w:rPr>
                <w:rFonts w:hint="eastAsia" w:ascii="宋体" w:hAnsi="宋体" w:cs="宋体"/>
                <w:spacing w:val="4"/>
                <w:sz w:val="18"/>
                <w:szCs w:val="18"/>
              </w:rPr>
              <w:t>设备规格书</w:t>
            </w:r>
          </w:p>
        </w:tc>
        <w:tc>
          <w:tcPr>
            <w:tcW w:w="797" w:type="dxa"/>
            <w:noWrap/>
            <w:vAlign w:val="center"/>
          </w:tcPr>
          <w:p w14:paraId="53A011CE">
            <w:pPr>
              <w:overflowPunct w:val="0"/>
              <w:ind w:left="-668" w:firstLine="570"/>
              <w:jc w:val="center"/>
              <w:rPr>
                <w:rFonts w:hint="eastAsia" w:ascii="宋体" w:hAnsi="宋体" w:cs="宋体"/>
                <w:spacing w:val="4"/>
                <w:sz w:val="18"/>
                <w:szCs w:val="18"/>
              </w:rPr>
            </w:pPr>
          </w:p>
        </w:tc>
        <w:tc>
          <w:tcPr>
            <w:tcW w:w="1762" w:type="dxa"/>
            <w:noWrap/>
            <w:vAlign w:val="center"/>
          </w:tcPr>
          <w:p w14:paraId="3ED7F8C9">
            <w:pPr>
              <w:overflowPunct w:val="0"/>
              <w:ind w:left="-668" w:firstLine="570"/>
              <w:jc w:val="center"/>
              <w:rPr>
                <w:rFonts w:hint="eastAsia" w:ascii="宋体" w:hAnsi="宋体" w:cs="宋体"/>
                <w:spacing w:val="4"/>
                <w:sz w:val="18"/>
                <w:szCs w:val="18"/>
              </w:rPr>
            </w:pPr>
          </w:p>
        </w:tc>
      </w:tr>
      <w:tr w14:paraId="4A7BB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78" w:type="dxa"/>
            <w:noWrap/>
            <w:vAlign w:val="center"/>
          </w:tcPr>
          <w:p w14:paraId="28D6E10A">
            <w:pPr>
              <w:overflowPunct w:val="0"/>
              <w:ind w:left="-668" w:firstLine="570"/>
              <w:jc w:val="center"/>
              <w:rPr>
                <w:rFonts w:hint="eastAsia" w:ascii="宋体" w:hAnsi="宋体" w:cs="宋体"/>
                <w:spacing w:val="4"/>
                <w:sz w:val="18"/>
                <w:szCs w:val="18"/>
              </w:rPr>
            </w:pPr>
            <w:r>
              <w:rPr>
                <w:rFonts w:hint="eastAsia" w:ascii="宋体" w:hAnsi="宋体" w:cs="宋体"/>
                <w:spacing w:val="4"/>
                <w:sz w:val="18"/>
                <w:szCs w:val="18"/>
              </w:rPr>
              <w:t>5</w:t>
            </w:r>
          </w:p>
        </w:tc>
        <w:tc>
          <w:tcPr>
            <w:tcW w:w="3430" w:type="dxa"/>
            <w:noWrap/>
            <w:vAlign w:val="center"/>
          </w:tcPr>
          <w:p w14:paraId="56840D08">
            <w:pPr>
              <w:overflowPunct w:val="0"/>
              <w:ind w:left="-668" w:firstLine="570"/>
              <w:jc w:val="center"/>
              <w:rPr>
                <w:rFonts w:hint="eastAsia" w:ascii="宋体" w:hAnsi="宋体" w:cs="宋体"/>
                <w:spacing w:val="4"/>
                <w:sz w:val="18"/>
                <w:szCs w:val="18"/>
              </w:rPr>
            </w:pPr>
            <w:r>
              <w:rPr>
                <w:rFonts w:hint="eastAsia" w:ascii="宋体" w:hAnsi="宋体" w:cs="宋体"/>
                <w:spacing w:val="4"/>
                <w:sz w:val="18"/>
                <w:szCs w:val="18"/>
              </w:rPr>
              <w:t>差异表</w:t>
            </w:r>
          </w:p>
        </w:tc>
        <w:tc>
          <w:tcPr>
            <w:tcW w:w="797" w:type="dxa"/>
            <w:noWrap/>
            <w:vAlign w:val="center"/>
          </w:tcPr>
          <w:p w14:paraId="22F4C1ED">
            <w:pPr>
              <w:overflowPunct w:val="0"/>
              <w:ind w:left="-668" w:firstLine="570"/>
              <w:jc w:val="center"/>
              <w:rPr>
                <w:rFonts w:hint="eastAsia" w:ascii="宋体" w:hAnsi="宋体" w:cs="宋体"/>
                <w:spacing w:val="4"/>
                <w:sz w:val="18"/>
                <w:szCs w:val="18"/>
              </w:rPr>
            </w:pPr>
          </w:p>
        </w:tc>
        <w:tc>
          <w:tcPr>
            <w:tcW w:w="1762" w:type="dxa"/>
            <w:noWrap/>
            <w:vAlign w:val="center"/>
          </w:tcPr>
          <w:p w14:paraId="22C068A8">
            <w:pPr>
              <w:overflowPunct w:val="0"/>
              <w:ind w:left="-668" w:firstLine="570"/>
              <w:jc w:val="center"/>
              <w:rPr>
                <w:rFonts w:hint="eastAsia" w:ascii="宋体" w:hAnsi="宋体" w:cs="宋体"/>
                <w:spacing w:val="4"/>
                <w:sz w:val="18"/>
                <w:szCs w:val="18"/>
              </w:rPr>
            </w:pPr>
          </w:p>
        </w:tc>
      </w:tr>
      <w:tr w14:paraId="436AE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178" w:type="dxa"/>
            <w:noWrap/>
            <w:vAlign w:val="center"/>
          </w:tcPr>
          <w:p w14:paraId="07AB55FE">
            <w:pPr>
              <w:overflowPunct w:val="0"/>
              <w:ind w:left="-668" w:firstLine="570"/>
              <w:jc w:val="center"/>
              <w:rPr>
                <w:rFonts w:hint="eastAsia" w:ascii="宋体" w:hAnsi="宋体" w:cs="宋体"/>
                <w:spacing w:val="4"/>
                <w:sz w:val="18"/>
                <w:szCs w:val="18"/>
              </w:rPr>
            </w:pPr>
          </w:p>
        </w:tc>
        <w:tc>
          <w:tcPr>
            <w:tcW w:w="3430" w:type="dxa"/>
            <w:noWrap/>
            <w:vAlign w:val="center"/>
          </w:tcPr>
          <w:p w14:paraId="530EB0D0">
            <w:pPr>
              <w:overflowPunct w:val="0"/>
              <w:ind w:left="-668" w:firstLine="570"/>
              <w:jc w:val="center"/>
              <w:rPr>
                <w:rFonts w:hint="eastAsia" w:ascii="宋体" w:hAnsi="宋体" w:cs="宋体"/>
                <w:spacing w:val="4"/>
                <w:sz w:val="18"/>
                <w:szCs w:val="18"/>
              </w:rPr>
            </w:pPr>
          </w:p>
        </w:tc>
        <w:tc>
          <w:tcPr>
            <w:tcW w:w="797" w:type="dxa"/>
            <w:noWrap/>
            <w:vAlign w:val="center"/>
          </w:tcPr>
          <w:p w14:paraId="75A1F699">
            <w:pPr>
              <w:overflowPunct w:val="0"/>
              <w:ind w:left="-668" w:firstLine="570"/>
              <w:jc w:val="center"/>
              <w:rPr>
                <w:rFonts w:hint="eastAsia" w:ascii="宋体" w:hAnsi="宋体" w:cs="宋体"/>
                <w:spacing w:val="4"/>
                <w:sz w:val="18"/>
                <w:szCs w:val="18"/>
              </w:rPr>
            </w:pPr>
          </w:p>
        </w:tc>
        <w:tc>
          <w:tcPr>
            <w:tcW w:w="1762" w:type="dxa"/>
            <w:noWrap/>
            <w:vAlign w:val="center"/>
          </w:tcPr>
          <w:p w14:paraId="617E4005">
            <w:pPr>
              <w:overflowPunct w:val="0"/>
              <w:ind w:left="-668" w:firstLine="570"/>
              <w:jc w:val="center"/>
              <w:rPr>
                <w:rFonts w:hint="eastAsia" w:ascii="宋体" w:hAnsi="宋体" w:cs="宋体"/>
                <w:spacing w:val="4"/>
                <w:sz w:val="18"/>
                <w:szCs w:val="18"/>
              </w:rPr>
            </w:pPr>
          </w:p>
        </w:tc>
      </w:tr>
    </w:tbl>
    <w:p w14:paraId="76BF4198">
      <w:pPr>
        <w:overflowPunct w:val="0"/>
        <w:rPr>
          <w:rFonts w:hint="eastAsia" w:ascii="宋体" w:hAnsi="宋体" w:cs="宋体"/>
          <w:spacing w:val="4"/>
        </w:rPr>
      </w:pPr>
      <w:r>
        <w:rPr>
          <w:rFonts w:hint="eastAsia" w:ascii="宋体" w:hAnsi="宋体" w:cs="宋体"/>
          <w:spacing w:val="4"/>
        </w:rPr>
        <w:t>据此函，签字代表宣布同意如下：</w:t>
      </w:r>
    </w:p>
    <w:p w14:paraId="2244627A">
      <w:pPr>
        <w:numPr>
          <w:ilvl w:val="0"/>
          <w:numId w:val="49"/>
        </w:numPr>
        <w:tabs>
          <w:tab w:val="clear" w:pos="720"/>
        </w:tabs>
        <w:overflowPunct w:val="0"/>
        <w:ind w:left="567" w:hanging="567"/>
        <w:rPr>
          <w:rFonts w:hint="eastAsia" w:ascii="宋体" w:hAnsi="宋体" w:cs="宋体"/>
          <w:spacing w:val="4"/>
        </w:rPr>
      </w:pPr>
      <w:r>
        <w:rPr>
          <w:rFonts w:hint="eastAsia" w:ascii="宋体" w:hAnsi="宋体" w:cs="宋体"/>
          <w:spacing w:val="4"/>
        </w:rPr>
        <w:t>我方已详细审查全部招标文件，包括修改文件（如需要修改）以及全部参考资料和有关附件。我方完全理解并同意放弃对这方面有不明及误解的权利。</w:t>
      </w:r>
    </w:p>
    <w:p w14:paraId="34829858">
      <w:pPr>
        <w:numPr>
          <w:ilvl w:val="0"/>
          <w:numId w:val="49"/>
        </w:numPr>
        <w:tabs>
          <w:tab w:val="clear" w:pos="720"/>
        </w:tabs>
        <w:overflowPunct w:val="0"/>
        <w:ind w:left="567" w:hanging="567"/>
        <w:jc w:val="distribute"/>
        <w:rPr>
          <w:rFonts w:hint="eastAsia" w:ascii="宋体" w:hAnsi="宋体" w:cs="宋体"/>
          <w:b/>
          <w:bCs/>
          <w:spacing w:val="4"/>
          <w:sz w:val="22"/>
          <w:szCs w:val="22"/>
        </w:rPr>
      </w:pPr>
      <w:r>
        <w:rPr>
          <w:rFonts w:hint="eastAsia" w:ascii="宋体" w:hAnsi="宋体" w:cs="宋体"/>
          <w:b/>
          <w:bCs/>
          <w:spacing w:val="4"/>
          <w:sz w:val="22"/>
          <w:szCs w:val="28"/>
        </w:rPr>
        <w:t>所附投标（商务）报价表中规定的应提供和交付的货物投标</w:t>
      </w:r>
    </w:p>
    <w:p w14:paraId="111B4063">
      <w:pPr>
        <w:overflowPunct w:val="0"/>
        <w:jc w:val="left"/>
        <w:rPr>
          <w:rFonts w:hint="eastAsia" w:ascii="宋体" w:hAnsi="宋体" w:cs="宋体"/>
          <w:b/>
          <w:bCs/>
          <w:spacing w:val="4"/>
          <w:sz w:val="22"/>
          <w:szCs w:val="22"/>
        </w:rPr>
      </w:pPr>
      <w:r>
        <w:rPr>
          <w:rFonts w:hint="eastAsia" w:ascii="宋体" w:hAnsi="宋体" w:cs="宋体"/>
          <w:b/>
          <w:bCs/>
          <w:spacing w:val="4"/>
          <w:sz w:val="22"/>
          <w:szCs w:val="22"/>
        </w:rPr>
        <w:t>总价为人民币不含税</w:t>
      </w:r>
      <w:r>
        <w:rPr>
          <w:rFonts w:hint="eastAsia" w:ascii="宋体" w:hAnsi="宋体" w:cs="宋体"/>
          <w:spacing w:val="4"/>
        </w:rPr>
        <w:t xml:space="preserve"> </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b/>
          <w:bCs/>
          <w:spacing w:val="4"/>
          <w:sz w:val="22"/>
          <w:szCs w:val="22"/>
        </w:rPr>
        <w:t>元（不含税，大写</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b/>
          <w:bCs/>
          <w:spacing w:val="4"/>
          <w:sz w:val="22"/>
          <w:szCs w:val="22"/>
        </w:rPr>
        <w:t>）。</w:t>
      </w:r>
    </w:p>
    <w:p w14:paraId="5D81D654">
      <w:pPr>
        <w:numPr>
          <w:ilvl w:val="0"/>
          <w:numId w:val="49"/>
        </w:numPr>
        <w:tabs>
          <w:tab w:val="clear" w:pos="720"/>
        </w:tabs>
        <w:overflowPunct w:val="0"/>
        <w:ind w:left="567" w:hanging="567"/>
        <w:jc w:val="distribute"/>
        <w:rPr>
          <w:rFonts w:hint="eastAsia" w:ascii="宋体" w:hAnsi="宋体" w:cs="宋体"/>
          <w:b/>
          <w:bCs/>
          <w:spacing w:val="4"/>
          <w:sz w:val="22"/>
          <w:szCs w:val="22"/>
        </w:rPr>
      </w:pPr>
      <w:r>
        <w:rPr>
          <w:rFonts w:hint="eastAsia" w:ascii="宋体" w:hAnsi="宋体" w:cs="宋体"/>
          <w:b/>
          <w:bCs/>
          <w:spacing w:val="4"/>
          <w:sz w:val="22"/>
          <w:szCs w:val="28"/>
        </w:rPr>
        <w:t>所附投标（商务）报价表中规定的应提供和交付的货物投标</w:t>
      </w:r>
    </w:p>
    <w:p w14:paraId="59082F7A">
      <w:pPr>
        <w:overflowPunct w:val="0"/>
        <w:jc w:val="distribute"/>
        <w:rPr>
          <w:rFonts w:hint="eastAsia" w:ascii="宋体" w:hAnsi="宋体" w:cs="宋体"/>
          <w:b/>
          <w:bCs/>
          <w:spacing w:val="4"/>
          <w:sz w:val="22"/>
          <w:szCs w:val="22"/>
        </w:rPr>
      </w:pPr>
      <w:r>
        <w:rPr>
          <w:rFonts w:hint="eastAsia" w:ascii="宋体" w:hAnsi="宋体" w:cs="宋体"/>
          <w:b/>
          <w:bCs/>
          <w:spacing w:val="4"/>
          <w:sz w:val="22"/>
          <w:szCs w:val="22"/>
        </w:rPr>
        <w:t>总价为人民币含税</w:t>
      </w:r>
      <w:r>
        <w:rPr>
          <w:rFonts w:hint="eastAsia" w:ascii="宋体" w:hAnsi="宋体" w:cs="宋体"/>
          <w:spacing w:val="4"/>
        </w:rPr>
        <w:t xml:space="preserve"> </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b/>
          <w:bCs/>
          <w:spacing w:val="4"/>
          <w:sz w:val="22"/>
          <w:szCs w:val="22"/>
        </w:rPr>
        <w:t>元（含13%增值税，大写</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b/>
          <w:bCs/>
          <w:spacing w:val="4"/>
          <w:sz w:val="22"/>
          <w:szCs w:val="22"/>
        </w:rPr>
        <w:t>）。</w:t>
      </w:r>
    </w:p>
    <w:p w14:paraId="2A1248CB">
      <w:pPr>
        <w:numPr>
          <w:ilvl w:val="0"/>
          <w:numId w:val="49"/>
        </w:numPr>
        <w:tabs>
          <w:tab w:val="clear" w:pos="720"/>
        </w:tabs>
        <w:overflowPunct w:val="0"/>
        <w:ind w:left="567" w:hanging="567"/>
        <w:jc w:val="left"/>
        <w:rPr>
          <w:rFonts w:hint="eastAsia" w:ascii="宋体" w:hAnsi="宋体" w:cs="宋体"/>
          <w:b/>
          <w:bCs/>
          <w:spacing w:val="4"/>
          <w:sz w:val="22"/>
          <w:szCs w:val="28"/>
        </w:rPr>
      </w:pPr>
      <w:r>
        <w:rPr>
          <w:rFonts w:hint="eastAsia" w:ascii="宋体" w:hAnsi="宋体" w:cs="宋体"/>
          <w:b/>
          <w:bCs/>
          <w:spacing w:val="4"/>
          <w:sz w:val="22"/>
          <w:szCs w:val="28"/>
        </w:rPr>
        <w:t>合同交货期为</w:t>
      </w:r>
      <w:r>
        <w:rPr>
          <w:rFonts w:hint="eastAsia" w:ascii="宋体" w:hAnsi="宋体" w:cs="宋体"/>
          <w:spacing w:val="4"/>
        </w:rPr>
        <w:t xml:space="preserve"> </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b/>
          <w:bCs/>
          <w:spacing w:val="4"/>
          <w:sz w:val="22"/>
          <w:szCs w:val="28"/>
        </w:rPr>
        <w:t>天（自然天，含节假日）。</w:t>
      </w:r>
    </w:p>
    <w:p w14:paraId="1A7F55B0">
      <w:pPr>
        <w:numPr>
          <w:ilvl w:val="0"/>
          <w:numId w:val="49"/>
        </w:numPr>
        <w:tabs>
          <w:tab w:val="clear" w:pos="720"/>
        </w:tabs>
        <w:overflowPunct w:val="0"/>
        <w:ind w:left="567" w:hanging="567"/>
        <w:rPr>
          <w:rFonts w:hint="eastAsia" w:ascii="宋体" w:hAnsi="宋体" w:cs="宋体"/>
          <w:spacing w:val="4"/>
        </w:rPr>
      </w:pPr>
      <w:r>
        <w:rPr>
          <w:rFonts w:hint="eastAsia" w:ascii="宋体" w:hAnsi="宋体" w:cs="宋体"/>
          <w:spacing w:val="4"/>
        </w:rPr>
        <w:t>投标有效期为投标截止日期后90天。</w:t>
      </w:r>
    </w:p>
    <w:p w14:paraId="2206EE6C">
      <w:pPr>
        <w:numPr>
          <w:ilvl w:val="0"/>
          <w:numId w:val="49"/>
        </w:numPr>
        <w:tabs>
          <w:tab w:val="clear" w:pos="720"/>
        </w:tabs>
        <w:overflowPunct w:val="0"/>
        <w:ind w:left="567" w:hanging="567"/>
        <w:rPr>
          <w:rFonts w:hint="eastAsia" w:ascii="宋体" w:hAnsi="宋体" w:cs="宋体"/>
          <w:spacing w:val="4"/>
        </w:rPr>
      </w:pPr>
      <w:r>
        <w:rPr>
          <w:rFonts w:hint="eastAsia" w:ascii="宋体" w:hAnsi="宋体" w:cs="宋体"/>
          <w:spacing w:val="4"/>
        </w:rPr>
        <w:t>我方同意在规定的投标有效期内遵守本投标。在该期限届满之前，本投标对我方始终有约束力，并可随时被接受。</w:t>
      </w:r>
    </w:p>
    <w:p w14:paraId="7EF56286">
      <w:pPr>
        <w:numPr>
          <w:ilvl w:val="0"/>
          <w:numId w:val="49"/>
        </w:numPr>
        <w:tabs>
          <w:tab w:val="clear" w:pos="720"/>
        </w:tabs>
        <w:overflowPunct w:val="0"/>
        <w:ind w:left="567" w:hanging="609"/>
        <w:rPr>
          <w:rFonts w:hint="eastAsia" w:ascii="宋体" w:hAnsi="宋体" w:cs="宋体"/>
          <w:spacing w:val="4"/>
        </w:rPr>
      </w:pPr>
      <w:r>
        <w:rPr>
          <w:rFonts w:hint="eastAsia" w:ascii="宋体" w:hAnsi="宋体" w:cs="宋体"/>
          <w:spacing w:val="4"/>
        </w:rPr>
        <w:t>我方同意提供按照贵方可能要求的与其投标有关的一切数据或资料，完全理解不一定要接受最低价格的投标或受到的任何投标。</w:t>
      </w:r>
    </w:p>
    <w:p w14:paraId="26D19ED9">
      <w:pPr>
        <w:numPr>
          <w:ilvl w:val="0"/>
          <w:numId w:val="49"/>
        </w:numPr>
        <w:tabs>
          <w:tab w:val="clear" w:pos="720"/>
        </w:tabs>
        <w:overflowPunct w:val="0"/>
        <w:ind w:left="567" w:hanging="567"/>
        <w:rPr>
          <w:rFonts w:hint="eastAsia" w:ascii="宋体" w:hAnsi="宋体" w:cs="宋体"/>
          <w:spacing w:val="4"/>
        </w:rPr>
      </w:pPr>
      <w:r>
        <w:rPr>
          <w:rFonts w:hint="eastAsia" w:ascii="宋体" w:hAnsi="宋体" w:cs="宋体"/>
          <w:spacing w:val="4"/>
        </w:rPr>
        <w:t>与本投标有关的一切正式往来通信请寄：</w:t>
      </w:r>
    </w:p>
    <w:p w14:paraId="52C7C186">
      <w:pPr>
        <w:overflowPunct w:val="0"/>
        <w:ind w:left="300" w:hanging="300"/>
        <w:rPr>
          <w:rFonts w:hint="eastAsia" w:ascii="宋体" w:hAnsi="宋体" w:cs="宋体"/>
        </w:rPr>
      </w:pPr>
    </w:p>
    <w:p w14:paraId="54581196">
      <w:pPr>
        <w:overflowPunct w:val="0"/>
        <w:ind w:left="300" w:hanging="300"/>
        <w:rPr>
          <w:rFonts w:hint="eastAsia" w:ascii="宋体" w:hAnsi="宋体" w:cs="宋体"/>
          <w:spacing w:val="4"/>
        </w:rPr>
      </w:pPr>
      <w:r>
        <w:rPr>
          <w:rFonts w:hint="eastAsia" w:ascii="宋体" w:hAnsi="宋体" w:cs="宋体"/>
          <w:spacing w:val="4"/>
        </w:rPr>
        <w:t xml:space="preserve">地址： </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spacing w:val="4"/>
        </w:rPr>
        <w:t xml:space="preserve"> 邮编： </w:t>
      </w:r>
      <w:r>
        <w:rPr>
          <w:rFonts w:hint="eastAsia" w:ascii="宋体" w:hAnsi="宋体" w:cs="宋体"/>
          <w:b/>
          <w:bCs/>
          <w:spacing w:val="4"/>
          <w:u w:val="single"/>
        </w:rPr>
        <w:t xml:space="preserve">           </w:t>
      </w:r>
      <w:r>
        <w:rPr>
          <w:rFonts w:hint="eastAsia" w:ascii="宋体" w:hAnsi="宋体" w:cs="宋体"/>
          <w:b/>
          <w:bCs/>
          <w:spacing w:val="4"/>
        </w:rPr>
        <w:t xml:space="preserve"> </w:t>
      </w:r>
    </w:p>
    <w:p w14:paraId="51A79483">
      <w:pPr>
        <w:overflowPunct w:val="0"/>
        <w:ind w:left="300" w:hanging="300"/>
        <w:rPr>
          <w:rFonts w:hint="eastAsia" w:ascii="宋体" w:hAnsi="宋体" w:cs="宋体"/>
          <w:spacing w:val="4"/>
        </w:rPr>
      </w:pPr>
    </w:p>
    <w:p w14:paraId="24F94A72">
      <w:pPr>
        <w:overflowPunct w:val="0"/>
        <w:ind w:left="300" w:hanging="300"/>
        <w:rPr>
          <w:rFonts w:hint="eastAsia" w:ascii="宋体" w:hAnsi="宋体" w:cs="宋体"/>
          <w:spacing w:val="4"/>
        </w:rPr>
      </w:pPr>
      <w:r>
        <w:rPr>
          <w:rFonts w:hint="eastAsia" w:ascii="宋体" w:hAnsi="宋体" w:cs="宋体"/>
          <w:spacing w:val="4"/>
        </w:rPr>
        <w:t xml:space="preserve">电话： </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spacing w:val="4"/>
        </w:rPr>
        <w:t xml:space="preserve"> 传真： </w:t>
      </w:r>
      <w:r>
        <w:rPr>
          <w:rFonts w:hint="eastAsia" w:ascii="宋体" w:hAnsi="宋体" w:cs="宋体"/>
          <w:b/>
          <w:bCs/>
          <w:spacing w:val="4"/>
          <w:u w:val="single"/>
        </w:rPr>
        <w:t xml:space="preserve">           </w:t>
      </w:r>
      <w:r>
        <w:rPr>
          <w:rFonts w:hint="eastAsia" w:ascii="宋体" w:hAnsi="宋体" w:cs="宋体"/>
          <w:b/>
          <w:bCs/>
          <w:spacing w:val="4"/>
        </w:rPr>
        <w:t xml:space="preserve"> </w:t>
      </w:r>
    </w:p>
    <w:p w14:paraId="0AA9BDA0">
      <w:pPr>
        <w:overflowPunct w:val="0"/>
        <w:ind w:left="300" w:hanging="300"/>
        <w:rPr>
          <w:rFonts w:hint="eastAsia" w:ascii="宋体" w:hAnsi="宋体" w:cs="宋体"/>
          <w:spacing w:val="4"/>
        </w:rPr>
      </w:pPr>
    </w:p>
    <w:p w14:paraId="2CDC5E2C">
      <w:pPr>
        <w:overflowPunct w:val="0"/>
        <w:ind w:left="300" w:hanging="300"/>
        <w:rPr>
          <w:rFonts w:hint="eastAsia" w:ascii="宋体" w:hAnsi="宋体" w:cs="宋体"/>
          <w:spacing w:val="4"/>
        </w:rPr>
      </w:pPr>
      <w:r>
        <w:rPr>
          <w:rFonts w:hint="eastAsia" w:ascii="宋体" w:hAnsi="宋体" w:cs="宋体"/>
          <w:spacing w:val="4"/>
        </w:rPr>
        <w:t xml:space="preserve">投标人代表姓名、职务： </w:t>
      </w:r>
      <w:r>
        <w:rPr>
          <w:rFonts w:hint="eastAsia" w:ascii="宋体" w:hAnsi="宋体" w:cs="宋体"/>
          <w:b/>
          <w:bCs/>
          <w:spacing w:val="4"/>
          <w:u w:val="single"/>
        </w:rPr>
        <w:t xml:space="preserve">                              </w:t>
      </w:r>
      <w:r>
        <w:rPr>
          <w:rFonts w:hint="eastAsia" w:ascii="宋体" w:hAnsi="宋体" w:cs="宋体"/>
          <w:b/>
          <w:bCs/>
          <w:spacing w:val="4"/>
        </w:rPr>
        <w:t xml:space="preserve"> </w:t>
      </w:r>
    </w:p>
    <w:p w14:paraId="1D15768F">
      <w:pPr>
        <w:overflowPunct w:val="0"/>
        <w:ind w:left="300" w:hanging="300"/>
        <w:rPr>
          <w:rFonts w:hint="eastAsia" w:ascii="宋体" w:hAnsi="宋体" w:cs="宋体"/>
          <w:spacing w:val="4"/>
        </w:rPr>
      </w:pPr>
    </w:p>
    <w:p w14:paraId="5B7204BE">
      <w:pPr>
        <w:overflowPunct w:val="0"/>
        <w:ind w:left="300" w:hanging="300"/>
        <w:rPr>
          <w:rFonts w:hint="eastAsia" w:ascii="宋体" w:hAnsi="宋体" w:cs="宋体"/>
          <w:spacing w:val="4"/>
        </w:rPr>
      </w:pPr>
      <w:r>
        <w:rPr>
          <w:rFonts w:hint="eastAsia" w:ascii="宋体" w:hAnsi="宋体" w:cs="宋体"/>
          <w:spacing w:val="4"/>
        </w:rPr>
        <w:t xml:space="preserve">投标人名称（公章）： </w:t>
      </w:r>
      <w:r>
        <w:rPr>
          <w:rFonts w:hint="eastAsia" w:ascii="宋体" w:hAnsi="宋体" w:cs="宋体"/>
          <w:b/>
          <w:bCs/>
          <w:spacing w:val="4"/>
          <w:u w:val="single"/>
        </w:rPr>
        <w:t xml:space="preserve">                                 </w:t>
      </w:r>
      <w:r>
        <w:rPr>
          <w:rFonts w:hint="eastAsia" w:ascii="宋体" w:hAnsi="宋体" w:cs="宋体"/>
          <w:b/>
          <w:bCs/>
          <w:spacing w:val="4"/>
        </w:rPr>
        <w:t xml:space="preserve"> </w:t>
      </w:r>
    </w:p>
    <w:p w14:paraId="402CE116">
      <w:pPr>
        <w:overflowPunct w:val="0"/>
        <w:rPr>
          <w:rFonts w:hint="eastAsia" w:ascii="宋体" w:hAnsi="宋体" w:cs="宋体"/>
          <w:spacing w:val="4"/>
        </w:rPr>
      </w:pPr>
    </w:p>
    <w:p w14:paraId="14C3F0B2">
      <w:pPr>
        <w:overflowPunct w:val="0"/>
        <w:ind w:left="300" w:hanging="300"/>
        <w:rPr>
          <w:rFonts w:hint="eastAsia" w:ascii="宋体" w:hAnsi="宋体" w:cs="宋体"/>
          <w:spacing w:val="4"/>
        </w:rPr>
      </w:pPr>
      <w:r>
        <w:rPr>
          <w:rFonts w:hint="eastAsia" w:ascii="宋体" w:hAnsi="宋体" w:cs="宋体"/>
          <w:spacing w:val="4"/>
        </w:rPr>
        <w:t xml:space="preserve">日期： </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spacing w:val="4"/>
        </w:rPr>
        <w:t xml:space="preserve">年 </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spacing w:val="4"/>
        </w:rPr>
        <w:t xml:space="preserve">月 </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spacing w:val="4"/>
        </w:rPr>
        <w:t xml:space="preserve"> 日</w:t>
      </w:r>
    </w:p>
    <w:p w14:paraId="3BF59F20">
      <w:pPr>
        <w:overflowPunct w:val="0"/>
        <w:rPr>
          <w:rFonts w:hint="eastAsia" w:ascii="宋体" w:hAnsi="宋体" w:cs="宋体"/>
          <w:spacing w:val="4"/>
        </w:rPr>
      </w:pPr>
    </w:p>
    <w:p w14:paraId="58E66CE2">
      <w:pPr>
        <w:overflowPunct w:val="0"/>
        <w:jc w:val="left"/>
        <w:rPr>
          <w:rFonts w:hint="eastAsia" w:ascii="宋体" w:hAnsi="宋体" w:cs="宋体"/>
          <w:b/>
          <w:sz w:val="28"/>
        </w:rPr>
      </w:pPr>
      <w:r>
        <w:rPr>
          <w:rFonts w:hint="eastAsia" w:ascii="宋体" w:hAnsi="宋体" w:cs="宋体"/>
          <w:spacing w:val="4"/>
        </w:rPr>
        <w:t xml:space="preserve">全权代表签字： </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b/>
          <w:sz w:val="28"/>
        </w:rPr>
        <w:br w:type="page"/>
      </w:r>
      <w:r>
        <w:rPr>
          <w:rFonts w:hint="eastAsia" w:ascii="宋体" w:hAnsi="宋体" w:cs="宋体"/>
          <w:b/>
          <w:sz w:val="28"/>
        </w:rPr>
        <w:t>法人代表授权书</w:t>
      </w:r>
    </w:p>
    <w:p w14:paraId="1AEC0746">
      <w:pPr>
        <w:overflowPunct w:val="0"/>
        <w:rPr>
          <w:rFonts w:hint="eastAsia" w:ascii="宋体" w:hAnsi="宋体" w:cs="宋体"/>
        </w:rPr>
      </w:pPr>
    </w:p>
    <w:p w14:paraId="6BDFD4DB">
      <w:pPr>
        <w:overflowPunct w:val="0"/>
        <w:rPr>
          <w:rFonts w:hint="eastAsia" w:ascii="宋体" w:hAnsi="宋体" w:cs="宋体"/>
        </w:rPr>
      </w:pPr>
      <w:r>
        <w:rPr>
          <w:rFonts w:hint="eastAsia" w:ascii="宋体" w:hAnsi="宋体" w:cs="宋体"/>
          <w:b/>
          <w:bCs/>
          <w:sz w:val="24"/>
        </w:rPr>
        <w:t>加西贝拉压缩机有限公司</w:t>
      </w:r>
      <w:r>
        <w:rPr>
          <w:rFonts w:hint="eastAsia" w:ascii="宋体" w:hAnsi="宋体" w:cs="宋体"/>
        </w:rPr>
        <w:t>：</w:t>
      </w:r>
    </w:p>
    <w:p w14:paraId="04F5B9E4">
      <w:pPr>
        <w:overflowPunct w:val="0"/>
        <w:rPr>
          <w:rFonts w:hint="eastAsia" w:ascii="宋体" w:hAnsi="宋体" w:cs="宋体"/>
        </w:rPr>
      </w:pPr>
      <w:r>
        <w:rPr>
          <w:rFonts w:hint="eastAsia" w:ascii="宋体" w:hAnsi="宋体" w:cs="宋体"/>
        </w:rPr>
        <w:t>　　</w:t>
      </w:r>
    </w:p>
    <w:p w14:paraId="61E91BB2">
      <w:pPr>
        <w:overflowPunct w:val="0"/>
        <w:ind w:left="399" w:leftChars="190"/>
        <w:rPr>
          <w:rFonts w:hint="eastAsia" w:ascii="宋体" w:hAnsi="宋体" w:cs="宋体"/>
          <w:spacing w:val="4"/>
        </w:rPr>
      </w:pPr>
      <w:r>
        <w:rPr>
          <w:rFonts w:hint="eastAsia" w:ascii="宋体" w:hAnsi="宋体" w:cs="宋体"/>
          <w:spacing w:val="4"/>
        </w:rPr>
        <w:t xml:space="preserve">现委派 </w:t>
      </w:r>
      <w:r>
        <w:rPr>
          <w:rFonts w:hint="eastAsia" w:ascii="宋体" w:hAnsi="宋体" w:cs="宋体"/>
          <w:b/>
          <w:bCs/>
          <w:spacing w:val="4"/>
          <w:u w:val="single"/>
        </w:rPr>
        <w:t xml:space="preserve">           </w:t>
      </w:r>
      <w:r>
        <w:rPr>
          <w:rFonts w:hint="eastAsia" w:ascii="宋体" w:hAnsi="宋体" w:cs="宋体"/>
          <w:b/>
          <w:bCs/>
          <w:spacing w:val="4"/>
        </w:rPr>
        <w:t xml:space="preserve"> </w:t>
      </w:r>
      <w:r>
        <w:rPr>
          <w:rFonts w:hint="eastAsia" w:ascii="宋体" w:hAnsi="宋体" w:cs="宋体"/>
          <w:spacing w:val="4"/>
        </w:rPr>
        <w:t xml:space="preserve">参加贵方组织的 </w:t>
      </w:r>
      <w:r>
        <w:rPr>
          <w:rFonts w:hint="eastAsia" w:ascii="宋体" w:hAnsi="宋体" w:cs="宋体"/>
          <w:b/>
          <w:bCs/>
          <w:spacing w:val="4"/>
          <w:u w:val="single"/>
        </w:rPr>
        <w:t xml:space="preserve">   焊机自动化改造  </w:t>
      </w:r>
      <w:r>
        <w:rPr>
          <w:rFonts w:hint="eastAsia" w:ascii="宋体" w:hAnsi="宋体" w:cs="宋体"/>
          <w:b/>
          <w:bCs/>
          <w:spacing w:val="4"/>
        </w:rPr>
        <w:t xml:space="preserve"> </w:t>
      </w:r>
      <w:r>
        <w:rPr>
          <w:rFonts w:hint="eastAsia" w:ascii="宋体" w:hAnsi="宋体" w:cs="宋体"/>
          <w:spacing w:val="4"/>
        </w:rPr>
        <w:t>项目</w:t>
      </w:r>
      <w:r>
        <w:rPr>
          <w:rFonts w:hint="eastAsia" w:ascii="宋体" w:hAnsi="宋体" w:cs="宋体"/>
        </w:rPr>
        <w:t>招</w:t>
      </w:r>
      <w:r>
        <w:rPr>
          <w:rFonts w:hint="eastAsia" w:ascii="宋体" w:hAnsi="宋体" w:cs="宋体"/>
          <w:spacing w:val="4"/>
        </w:rPr>
        <w:t>标活动，全权</w:t>
      </w:r>
    </w:p>
    <w:p w14:paraId="46D85A86">
      <w:pPr>
        <w:overflowPunct w:val="0"/>
        <w:rPr>
          <w:rFonts w:hint="eastAsia" w:ascii="宋体" w:hAnsi="宋体" w:cs="宋体"/>
          <w:spacing w:val="4"/>
        </w:rPr>
      </w:pPr>
    </w:p>
    <w:p w14:paraId="75159EDE">
      <w:pPr>
        <w:overflowPunct w:val="0"/>
        <w:rPr>
          <w:rFonts w:hint="eastAsia" w:ascii="宋体" w:hAnsi="宋体" w:cs="宋体"/>
          <w:spacing w:val="4"/>
        </w:rPr>
      </w:pPr>
      <w:r>
        <w:rPr>
          <w:rFonts w:hint="eastAsia" w:ascii="宋体" w:hAnsi="宋体" w:cs="宋体"/>
          <w:spacing w:val="4"/>
        </w:rPr>
        <w:t>代表我单位处理投标的有关事宜。</w:t>
      </w:r>
    </w:p>
    <w:p w14:paraId="597CA2D5">
      <w:pPr>
        <w:overflowPunct w:val="0"/>
        <w:rPr>
          <w:rFonts w:hint="eastAsia" w:ascii="宋体" w:hAnsi="宋体" w:cs="宋体"/>
        </w:rPr>
      </w:pPr>
      <w:r>
        <w:rPr>
          <w:rFonts w:hint="eastAsia" w:ascii="宋体" w:hAnsi="宋体" w:cs="宋体"/>
        </w:rPr>
        <w:t>　</w:t>
      </w:r>
    </w:p>
    <w:p w14:paraId="1D7FACB5">
      <w:pPr>
        <w:overflowPunct w:val="0"/>
        <w:rPr>
          <w:rFonts w:hint="eastAsia" w:ascii="宋体" w:hAnsi="宋体" w:cs="宋体"/>
        </w:rPr>
      </w:pPr>
    </w:p>
    <w:p w14:paraId="461161BD">
      <w:pPr>
        <w:overflowPunct w:val="0"/>
        <w:rPr>
          <w:rFonts w:hint="eastAsia" w:ascii="宋体" w:hAnsi="宋体" w:cs="宋体"/>
          <w:b/>
          <w:bCs/>
          <w:sz w:val="24"/>
        </w:rPr>
      </w:pPr>
      <w:r>
        <w:rPr>
          <w:rFonts w:hint="eastAsia" w:ascii="宋体" w:hAnsi="宋体" w:cs="宋体"/>
          <w:b/>
          <w:bCs/>
          <w:sz w:val="24"/>
        </w:rPr>
        <w:t>附：授权代表情况：</w:t>
      </w:r>
    </w:p>
    <w:p w14:paraId="23DF5C2A">
      <w:pPr>
        <w:overflowPunct w:val="0"/>
        <w:ind w:firstLine="500"/>
        <w:rPr>
          <w:rFonts w:hint="eastAsia" w:ascii="宋体" w:hAnsi="宋体" w:cs="宋体"/>
        </w:rPr>
      </w:pPr>
    </w:p>
    <w:p w14:paraId="4ADF7C31">
      <w:pPr>
        <w:overflowPunct w:val="0"/>
        <w:ind w:firstLine="436" w:firstLineChars="200"/>
        <w:rPr>
          <w:rFonts w:hint="eastAsia" w:ascii="宋体" w:hAnsi="宋体" w:cs="宋体"/>
          <w:spacing w:val="4"/>
        </w:rPr>
      </w:pPr>
      <w:r>
        <w:rPr>
          <w:rFonts w:hint="eastAsia" w:ascii="宋体" w:hAnsi="宋体" w:cs="宋体"/>
          <w:spacing w:val="4"/>
        </w:rPr>
        <w:t>姓　　名：</w:t>
      </w:r>
      <w:r>
        <w:rPr>
          <w:rFonts w:hint="eastAsia" w:ascii="宋体" w:hAnsi="宋体" w:cs="宋体"/>
          <w:b/>
          <w:bCs/>
          <w:spacing w:val="4"/>
          <w:sz w:val="24"/>
          <w:szCs w:val="32"/>
          <w:u w:val="single"/>
        </w:rPr>
        <w:t xml:space="preserve">          </w:t>
      </w:r>
      <w:r>
        <w:rPr>
          <w:rFonts w:hint="eastAsia" w:ascii="宋体" w:hAnsi="宋体" w:cs="宋体"/>
          <w:b/>
          <w:bCs/>
          <w:spacing w:val="4"/>
          <w:sz w:val="24"/>
          <w:szCs w:val="32"/>
        </w:rPr>
        <w:t xml:space="preserve">  </w:t>
      </w:r>
      <w:r>
        <w:rPr>
          <w:rFonts w:hint="eastAsia" w:ascii="宋体" w:hAnsi="宋体" w:cs="宋体"/>
          <w:spacing w:val="4"/>
        </w:rPr>
        <w:t>年　　龄：</w:t>
      </w:r>
      <w:r>
        <w:rPr>
          <w:rFonts w:hint="eastAsia" w:ascii="宋体" w:hAnsi="宋体" w:cs="宋体"/>
          <w:b/>
          <w:bCs/>
          <w:spacing w:val="4"/>
          <w:sz w:val="24"/>
          <w:szCs w:val="32"/>
          <w:u w:val="single"/>
        </w:rPr>
        <w:t xml:space="preserve">      </w:t>
      </w:r>
      <w:r>
        <w:rPr>
          <w:rFonts w:hint="eastAsia" w:ascii="宋体" w:hAnsi="宋体" w:cs="宋体"/>
          <w:b/>
          <w:bCs/>
          <w:spacing w:val="4"/>
          <w:sz w:val="24"/>
          <w:szCs w:val="32"/>
        </w:rPr>
        <w:t xml:space="preserve">  </w:t>
      </w:r>
      <w:r>
        <w:rPr>
          <w:rFonts w:hint="eastAsia" w:ascii="宋体" w:hAnsi="宋体" w:cs="宋体"/>
          <w:spacing w:val="4"/>
        </w:rPr>
        <w:t>性　　别：</w:t>
      </w:r>
      <w:r>
        <w:rPr>
          <w:rFonts w:hint="eastAsia" w:ascii="宋体" w:hAnsi="宋体" w:cs="宋体"/>
          <w:b/>
          <w:bCs/>
          <w:spacing w:val="4"/>
          <w:sz w:val="24"/>
          <w:szCs w:val="32"/>
          <w:u w:val="single"/>
        </w:rPr>
        <w:t xml:space="preserve">       </w:t>
      </w:r>
    </w:p>
    <w:p w14:paraId="7AAC41D5">
      <w:pPr>
        <w:overflowPunct w:val="0"/>
        <w:ind w:firstLine="436" w:firstLineChars="200"/>
        <w:rPr>
          <w:rFonts w:hint="eastAsia" w:ascii="宋体" w:hAnsi="宋体" w:cs="宋体"/>
          <w:spacing w:val="4"/>
        </w:rPr>
      </w:pPr>
      <w:r>
        <w:rPr>
          <w:rFonts w:hint="eastAsia" w:ascii="宋体" w:hAnsi="宋体" w:cs="宋体"/>
          <w:spacing w:val="4"/>
        </w:rPr>
        <w:t xml:space="preserve"> </w:t>
      </w:r>
    </w:p>
    <w:p w14:paraId="3D668702">
      <w:pPr>
        <w:overflowPunct w:val="0"/>
        <w:ind w:firstLine="436" w:firstLineChars="200"/>
        <w:rPr>
          <w:rFonts w:hint="eastAsia" w:ascii="宋体" w:hAnsi="宋体" w:cs="宋体"/>
          <w:spacing w:val="4"/>
        </w:rPr>
      </w:pPr>
      <w:r>
        <w:rPr>
          <w:rFonts w:hint="eastAsia" w:ascii="宋体" w:hAnsi="宋体" w:cs="宋体"/>
          <w:spacing w:val="4"/>
        </w:rPr>
        <w:t>身份证号：</w:t>
      </w:r>
      <w:r>
        <w:rPr>
          <w:rFonts w:hint="eastAsia" w:ascii="宋体" w:hAnsi="宋体" w:cs="宋体"/>
          <w:b/>
          <w:bCs/>
          <w:spacing w:val="4"/>
          <w:sz w:val="24"/>
          <w:szCs w:val="32"/>
          <w:u w:val="single"/>
        </w:rPr>
        <w:t xml:space="preserve">                                            </w:t>
      </w:r>
    </w:p>
    <w:p w14:paraId="215630AB">
      <w:pPr>
        <w:overflowPunct w:val="0"/>
        <w:ind w:firstLine="436" w:firstLineChars="200"/>
        <w:rPr>
          <w:rFonts w:hint="eastAsia" w:ascii="宋体" w:hAnsi="宋体" w:cs="宋体"/>
          <w:spacing w:val="4"/>
        </w:rPr>
      </w:pPr>
    </w:p>
    <w:p w14:paraId="0295DAE7">
      <w:pPr>
        <w:overflowPunct w:val="0"/>
        <w:ind w:firstLine="436" w:firstLineChars="200"/>
        <w:rPr>
          <w:rFonts w:hint="eastAsia" w:ascii="宋体" w:hAnsi="宋体" w:cs="宋体"/>
          <w:spacing w:val="4"/>
        </w:rPr>
      </w:pPr>
      <w:r>
        <w:rPr>
          <w:rFonts w:hint="eastAsia" w:ascii="宋体" w:hAnsi="宋体" w:cs="宋体"/>
          <w:spacing w:val="4"/>
        </w:rPr>
        <w:t>职　　务：</w:t>
      </w:r>
      <w:r>
        <w:rPr>
          <w:rFonts w:hint="eastAsia" w:ascii="宋体" w:hAnsi="宋体" w:cs="宋体"/>
          <w:b/>
          <w:bCs/>
          <w:spacing w:val="4"/>
          <w:sz w:val="24"/>
          <w:szCs w:val="32"/>
          <w:u w:val="single"/>
        </w:rPr>
        <w:t xml:space="preserve">                                            </w:t>
      </w:r>
    </w:p>
    <w:p w14:paraId="49FB8E09">
      <w:pPr>
        <w:overflowPunct w:val="0"/>
        <w:ind w:firstLine="436" w:firstLineChars="200"/>
        <w:rPr>
          <w:rFonts w:hint="eastAsia" w:ascii="宋体" w:hAnsi="宋体" w:cs="宋体"/>
          <w:spacing w:val="4"/>
        </w:rPr>
      </w:pPr>
      <w:r>
        <w:rPr>
          <w:rFonts w:hint="eastAsia" w:ascii="宋体" w:hAnsi="宋体" w:cs="宋体"/>
          <w:spacing w:val="4"/>
        </w:rPr>
        <w:t xml:space="preserve">  </w:t>
      </w:r>
    </w:p>
    <w:p w14:paraId="5284B900">
      <w:pPr>
        <w:overflowPunct w:val="0"/>
        <w:ind w:firstLine="436" w:firstLineChars="200"/>
        <w:rPr>
          <w:rFonts w:hint="eastAsia" w:ascii="宋体" w:hAnsi="宋体" w:cs="宋体"/>
          <w:spacing w:val="4"/>
        </w:rPr>
      </w:pPr>
      <w:r>
        <w:rPr>
          <w:rFonts w:hint="eastAsia" w:ascii="宋体" w:hAnsi="宋体" w:cs="宋体"/>
          <w:spacing w:val="4"/>
        </w:rPr>
        <w:t>通讯地址：</w:t>
      </w:r>
      <w:r>
        <w:rPr>
          <w:rFonts w:hint="eastAsia" w:ascii="宋体" w:hAnsi="宋体" w:cs="宋体"/>
          <w:b/>
          <w:bCs/>
          <w:spacing w:val="4"/>
          <w:sz w:val="24"/>
          <w:szCs w:val="32"/>
          <w:u w:val="single"/>
        </w:rPr>
        <w:t xml:space="preserve">                                            </w:t>
      </w:r>
    </w:p>
    <w:p w14:paraId="48BA1BA7">
      <w:pPr>
        <w:overflowPunct w:val="0"/>
        <w:ind w:firstLine="436" w:firstLineChars="200"/>
        <w:rPr>
          <w:rFonts w:hint="eastAsia" w:ascii="宋体" w:hAnsi="宋体" w:cs="宋体"/>
          <w:spacing w:val="4"/>
        </w:rPr>
      </w:pPr>
    </w:p>
    <w:p w14:paraId="26C3A9AA">
      <w:pPr>
        <w:overflowPunct w:val="0"/>
        <w:ind w:firstLine="436" w:firstLineChars="200"/>
        <w:rPr>
          <w:rFonts w:hint="eastAsia" w:ascii="宋体" w:hAnsi="宋体" w:cs="宋体"/>
          <w:spacing w:val="4"/>
        </w:rPr>
      </w:pPr>
      <w:r>
        <w:rPr>
          <w:rFonts w:hint="eastAsia" w:ascii="宋体" w:hAnsi="宋体" w:cs="宋体"/>
          <w:spacing w:val="4"/>
        </w:rPr>
        <w:t>邮　　编：</w:t>
      </w:r>
      <w:r>
        <w:rPr>
          <w:rFonts w:hint="eastAsia" w:ascii="宋体" w:hAnsi="宋体" w:cs="宋体"/>
          <w:b/>
          <w:bCs/>
          <w:spacing w:val="4"/>
          <w:sz w:val="24"/>
          <w:szCs w:val="32"/>
          <w:u w:val="single"/>
        </w:rPr>
        <w:t xml:space="preserve">                                            </w:t>
      </w:r>
    </w:p>
    <w:p w14:paraId="3B50A9FD">
      <w:pPr>
        <w:overflowPunct w:val="0"/>
        <w:rPr>
          <w:rFonts w:hint="eastAsia" w:ascii="宋体" w:hAnsi="宋体" w:cs="宋体"/>
          <w:spacing w:val="4"/>
        </w:rPr>
      </w:pPr>
    </w:p>
    <w:p w14:paraId="2096107A">
      <w:pPr>
        <w:overflowPunct w:val="0"/>
        <w:ind w:firstLine="436" w:firstLineChars="200"/>
        <w:rPr>
          <w:rFonts w:hint="eastAsia" w:ascii="宋体" w:hAnsi="宋体" w:cs="宋体"/>
          <w:spacing w:val="4"/>
        </w:rPr>
      </w:pPr>
      <w:r>
        <w:rPr>
          <w:rFonts w:hint="eastAsia" w:ascii="宋体" w:hAnsi="宋体" w:cs="宋体"/>
          <w:spacing w:val="4"/>
        </w:rPr>
        <w:t>电　　话：</w:t>
      </w:r>
      <w:r>
        <w:rPr>
          <w:rFonts w:hint="eastAsia" w:ascii="宋体" w:hAnsi="宋体" w:cs="宋体"/>
          <w:b/>
          <w:bCs/>
          <w:spacing w:val="4"/>
          <w:sz w:val="24"/>
          <w:szCs w:val="32"/>
          <w:u w:val="single"/>
        </w:rPr>
        <w:t xml:space="preserve">                   </w:t>
      </w:r>
      <w:r>
        <w:rPr>
          <w:rFonts w:hint="eastAsia" w:ascii="宋体" w:hAnsi="宋体" w:cs="宋体"/>
          <w:b/>
          <w:bCs/>
          <w:spacing w:val="4"/>
          <w:sz w:val="24"/>
          <w:szCs w:val="32"/>
        </w:rPr>
        <w:t xml:space="preserve">  </w:t>
      </w:r>
      <w:r>
        <w:rPr>
          <w:rFonts w:hint="eastAsia" w:ascii="宋体" w:hAnsi="宋体" w:cs="宋体"/>
          <w:spacing w:val="4"/>
        </w:rPr>
        <w:t>传　　真：</w:t>
      </w:r>
      <w:r>
        <w:rPr>
          <w:rFonts w:hint="eastAsia" w:ascii="宋体" w:hAnsi="宋体" w:cs="宋体"/>
          <w:b/>
          <w:bCs/>
          <w:spacing w:val="4"/>
          <w:sz w:val="24"/>
          <w:szCs w:val="32"/>
          <w:u w:val="single"/>
        </w:rPr>
        <w:t xml:space="preserve">               </w:t>
      </w:r>
    </w:p>
    <w:p w14:paraId="3802C953">
      <w:pPr>
        <w:overflowPunct w:val="0"/>
        <w:ind w:firstLine="436" w:firstLineChars="200"/>
        <w:rPr>
          <w:rFonts w:hint="eastAsia" w:ascii="宋体" w:hAnsi="宋体" w:cs="宋体"/>
          <w:spacing w:val="4"/>
        </w:rPr>
      </w:pPr>
    </w:p>
    <w:p w14:paraId="5DF2470C">
      <w:pPr>
        <w:overflowPunct w:val="0"/>
        <w:ind w:firstLine="436" w:firstLineChars="200"/>
        <w:rPr>
          <w:rFonts w:hint="eastAsia" w:ascii="宋体" w:hAnsi="宋体" w:cs="宋体"/>
          <w:spacing w:val="4"/>
        </w:rPr>
      </w:pPr>
    </w:p>
    <w:p w14:paraId="329C85A8">
      <w:pPr>
        <w:overflowPunct w:val="0"/>
        <w:ind w:firstLine="436" w:firstLineChars="200"/>
        <w:rPr>
          <w:rFonts w:hint="eastAsia" w:ascii="宋体" w:hAnsi="宋体" w:cs="宋体"/>
          <w:spacing w:val="4"/>
        </w:rPr>
      </w:pPr>
    </w:p>
    <w:p w14:paraId="39C03FE5">
      <w:pPr>
        <w:overflowPunct w:val="0"/>
        <w:ind w:firstLine="436" w:firstLineChars="200"/>
        <w:rPr>
          <w:rFonts w:hint="eastAsia" w:ascii="宋体" w:hAnsi="宋体" w:cs="宋体"/>
          <w:spacing w:val="4"/>
        </w:rPr>
      </w:pPr>
      <w:r>
        <w:rPr>
          <w:rFonts w:hint="eastAsia" w:ascii="宋体" w:hAnsi="宋体" w:cs="宋体"/>
          <w:spacing w:val="4"/>
        </w:rPr>
        <w:t>单位名称：（公章）　　　　　　             法定代表人：（签章）</w:t>
      </w:r>
    </w:p>
    <w:p w14:paraId="1F600112">
      <w:pPr>
        <w:overflowPunct w:val="0"/>
        <w:ind w:firstLine="436" w:firstLineChars="200"/>
        <w:rPr>
          <w:rFonts w:hint="eastAsia" w:ascii="宋体" w:hAnsi="宋体" w:cs="宋体"/>
          <w:spacing w:val="4"/>
        </w:rPr>
      </w:pPr>
      <w:r>
        <w:rPr>
          <w:rFonts w:hint="eastAsia" w:ascii="宋体" w:hAnsi="宋体" w:cs="宋体"/>
          <w:spacing w:val="4"/>
        </w:rPr>
        <w:t>　　</w:t>
      </w:r>
    </w:p>
    <w:p w14:paraId="4115D0F4">
      <w:pPr>
        <w:overflowPunct w:val="0"/>
        <w:ind w:firstLine="436" w:firstLineChars="200"/>
        <w:rPr>
          <w:rFonts w:hint="eastAsia" w:ascii="宋体" w:hAnsi="宋体" w:cs="宋体"/>
          <w:spacing w:val="4"/>
        </w:rPr>
      </w:pPr>
    </w:p>
    <w:p w14:paraId="7CFDEA11">
      <w:pPr>
        <w:overflowPunct w:val="0"/>
        <w:ind w:firstLine="436" w:firstLineChars="200"/>
        <w:rPr>
          <w:rFonts w:hint="eastAsia" w:ascii="宋体" w:hAnsi="宋体" w:cs="宋体"/>
          <w:spacing w:val="4"/>
        </w:rPr>
      </w:pPr>
    </w:p>
    <w:p w14:paraId="34098EAE">
      <w:pPr>
        <w:overflowPunct w:val="0"/>
        <w:ind w:firstLine="436" w:firstLineChars="200"/>
        <w:rPr>
          <w:rFonts w:hint="eastAsia" w:ascii="宋体" w:hAnsi="宋体" w:cs="宋体"/>
          <w:spacing w:val="4"/>
        </w:rPr>
      </w:pPr>
      <w:r>
        <w:rPr>
          <w:rFonts w:hint="eastAsia" w:ascii="宋体" w:hAnsi="宋体" w:cs="宋体"/>
          <w:spacing w:val="4"/>
        </w:rPr>
        <w:t>本授权书有效期：</w:t>
      </w:r>
      <w:r>
        <w:rPr>
          <w:rFonts w:hint="eastAsia" w:ascii="宋体" w:hAnsi="宋体" w:cs="宋体"/>
          <w:spacing w:val="4"/>
          <w:u w:val="single"/>
        </w:rPr>
        <w:t xml:space="preserve">      </w:t>
      </w:r>
      <w:r>
        <w:rPr>
          <w:rFonts w:hint="eastAsia" w:ascii="宋体" w:hAnsi="宋体" w:cs="宋体"/>
          <w:spacing w:val="4"/>
        </w:rPr>
        <w:t xml:space="preserve"> 年 </w:t>
      </w:r>
      <w:r>
        <w:rPr>
          <w:rFonts w:hint="eastAsia" w:ascii="宋体" w:hAnsi="宋体" w:cs="宋体"/>
          <w:spacing w:val="4"/>
          <w:u w:val="single"/>
        </w:rPr>
        <w:t xml:space="preserve">    </w:t>
      </w:r>
      <w:r>
        <w:rPr>
          <w:rFonts w:hint="eastAsia" w:ascii="宋体" w:hAnsi="宋体" w:cs="宋体"/>
          <w:spacing w:val="4"/>
        </w:rPr>
        <w:t xml:space="preserve"> 月 </w:t>
      </w:r>
      <w:r>
        <w:rPr>
          <w:rFonts w:hint="eastAsia" w:ascii="宋体" w:hAnsi="宋体" w:cs="宋体"/>
          <w:spacing w:val="4"/>
          <w:u w:val="single"/>
        </w:rPr>
        <w:t xml:space="preserve">    </w:t>
      </w:r>
      <w:r>
        <w:rPr>
          <w:rFonts w:hint="eastAsia" w:ascii="宋体" w:hAnsi="宋体" w:cs="宋体"/>
          <w:spacing w:val="4"/>
        </w:rPr>
        <w:t xml:space="preserve"> 日至 </w:t>
      </w:r>
      <w:r>
        <w:rPr>
          <w:rFonts w:hint="eastAsia" w:ascii="宋体" w:hAnsi="宋体" w:cs="宋体"/>
          <w:spacing w:val="4"/>
          <w:u w:val="single"/>
        </w:rPr>
        <w:t xml:space="preserve">     </w:t>
      </w:r>
      <w:r>
        <w:rPr>
          <w:rFonts w:hint="eastAsia" w:ascii="宋体" w:hAnsi="宋体" w:cs="宋体"/>
          <w:spacing w:val="4"/>
        </w:rPr>
        <w:t xml:space="preserve"> 年 </w:t>
      </w:r>
      <w:r>
        <w:rPr>
          <w:rFonts w:hint="eastAsia" w:ascii="宋体" w:hAnsi="宋体" w:cs="宋体"/>
          <w:spacing w:val="4"/>
          <w:u w:val="single"/>
        </w:rPr>
        <w:t xml:space="preserve">    </w:t>
      </w:r>
      <w:r>
        <w:rPr>
          <w:rFonts w:hint="eastAsia" w:ascii="宋体" w:hAnsi="宋体" w:cs="宋体"/>
          <w:spacing w:val="4"/>
        </w:rPr>
        <w:t xml:space="preserve"> 月 </w:t>
      </w:r>
      <w:r>
        <w:rPr>
          <w:rFonts w:hint="eastAsia" w:ascii="宋体" w:hAnsi="宋体" w:cs="宋体"/>
          <w:spacing w:val="4"/>
          <w:u w:val="single"/>
        </w:rPr>
        <w:t xml:space="preserve">    </w:t>
      </w:r>
      <w:r>
        <w:rPr>
          <w:rFonts w:hint="eastAsia" w:ascii="宋体" w:hAnsi="宋体" w:cs="宋体"/>
          <w:spacing w:val="4"/>
        </w:rPr>
        <w:t xml:space="preserve"> 日。</w:t>
      </w:r>
    </w:p>
    <w:p w14:paraId="6DB37077">
      <w:pPr>
        <w:overflowPunct w:val="0"/>
        <w:rPr>
          <w:rFonts w:hint="eastAsia" w:ascii="宋体" w:hAnsi="宋体" w:cs="宋体"/>
        </w:rPr>
      </w:pPr>
    </w:p>
    <w:p w14:paraId="17EE7B78">
      <w:pPr>
        <w:rPr>
          <w:rFonts w:hint="eastAsia" w:ascii="宋体" w:hAnsi="宋体" w:cs="宋体"/>
        </w:rPr>
      </w:pPr>
    </w:p>
    <w:p w14:paraId="33037659">
      <w:pPr>
        <w:rPr>
          <w:rFonts w:hint="eastAsia" w:ascii="宋体" w:hAnsi="宋体" w:cs="宋体"/>
        </w:rPr>
      </w:pPr>
    </w:p>
    <w:sectPr>
      <w:pgSz w:w="11906" w:h="16838"/>
      <w:pgMar w:top="1247" w:right="1247" w:bottom="993"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Constantia">
    <w:panose1 w:val="02030602050306030303"/>
    <w:charset w:val="00"/>
    <w:family w:val="roman"/>
    <w:pitch w:val="default"/>
    <w:sig w:usb0="A00002EF" w:usb1="4000204B" w:usb2="00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D6F5B">
    <w:pPr>
      <w:pStyle w:val="31"/>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63B1829">
                          <w:pPr>
                            <w:pStyle w:val="31"/>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463B1829">
                    <w:pPr>
                      <w:pStyle w:val="31"/>
                    </w:pPr>
                    <w:r>
                      <w:t xml:space="preserve">第 </w:t>
                    </w:r>
                    <w:r>
                      <w:fldChar w:fldCharType="begin"/>
                    </w:r>
                    <w:r>
                      <w:instrText xml:space="preserve"> PAGE  \* MERGEFORMAT </w:instrText>
                    </w:r>
                    <w:r>
                      <w:fldChar w:fldCharType="separate"/>
                    </w:r>
                    <w:r>
                      <w:t>0</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06BFE">
    <w:pPr>
      <w:pStyle w:val="3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F36FA9">
    <w:pPr>
      <w:pStyle w:val="3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D6C0CC">
                          <w:pPr>
                            <w:pStyle w:val="3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4BD6C0CC">
                    <w:pPr>
                      <w:pStyle w:val="3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51BCF">
    <w:pPr>
      <w:pStyle w:val="31"/>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316C66CE">
                          <w:pPr>
                            <w:pStyle w:val="31"/>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AjVCixxgEAAJsDAAAOAAAAAAAAAAEAIAAAAB4BAABkcnMvZTJvRG9jLnht&#10;bFBLBQYAAAAABgAGAFkBAABWBQAAAAA=&#10;">
              <v:fill on="f" focussize="0,0"/>
              <v:stroke on="f"/>
              <v:imagedata o:title=""/>
              <o:lock v:ext="edit" aspectratio="f"/>
              <v:textbox inset="0mm,0mm,0mm,0mm" style="mso-fit-shape-to-text:t;">
                <w:txbxContent>
                  <w:p w14:paraId="316C66CE">
                    <w:pPr>
                      <w:pStyle w:val="31"/>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A437B7">
    <w:pPr>
      <w:pStyle w:val="31"/>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06835E3">
                          <w:pPr>
                            <w:pStyle w:val="31"/>
                          </w:pPr>
                          <w:r>
                            <w:fldChar w:fldCharType="begin"/>
                          </w:r>
                          <w:r>
                            <w:instrText xml:space="preserve"> PAGE  \* MERGEFORMAT </w:instrText>
                          </w:r>
                          <w:r>
                            <w:fldChar w:fldCharType="separate"/>
                          </w:r>
                          <w:r>
                            <w:t>11</w:t>
                          </w:r>
                          <w:r>
                            <w:fldChar w:fldCharType="end"/>
                          </w:r>
                        </w:p>
                      </w:txbxContent>
                    </wps:txbx>
                    <wps:bodyPr wrap="none" lIns="0" tIns="0" rIns="0" bIns="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LplJFfFAQAAmwMAAA4AAAAAAAAAAQAgAAAAHgEAAGRycy9lMm9Eb2MueG1s&#10;UEsFBgAAAAAGAAYAWQEAAFUFAAAAAA==&#10;">
              <v:fill on="f" focussize="0,0"/>
              <v:stroke on="f"/>
              <v:imagedata o:title=""/>
              <o:lock v:ext="edit" aspectratio="f"/>
              <v:textbox inset="0mm,0mm,0mm,0mm" style="mso-fit-shape-to-text:t;">
                <w:txbxContent>
                  <w:p w14:paraId="706835E3">
                    <w:pPr>
                      <w:pStyle w:val="31"/>
                    </w:pPr>
                    <w:r>
                      <w:fldChar w:fldCharType="begin"/>
                    </w:r>
                    <w:r>
                      <w:instrText xml:space="preserve"> PAGE  \* MERGEFORMAT </w:instrText>
                    </w:r>
                    <w:r>
                      <w:fldChar w:fldCharType="separate"/>
                    </w:r>
                    <w:r>
                      <w:t>11</w:t>
                    </w:r>
                    <w:r>
                      <w:fldChar w:fldCharType="end"/>
                    </w:r>
                  </w:p>
                </w:txbxContent>
              </v:textbox>
            </v:shape>
          </w:pict>
        </mc:Fallback>
      </mc:AlternateContent>
    </w:r>
    <w:r>
      <w:rPr>
        <w:rFonts w:hint="eastAsia"/>
      </w:rPr>
      <w:t>0</w:t>
    </w:r>
  </w:p>
  <w:p w14:paraId="00FA4140">
    <w:pPr>
      <w:pStyle w:val="31"/>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72F65E">
    <w:pPr>
      <w:pStyle w:val="31"/>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62D779A7">
                          <w:pPr>
                            <w:pStyle w:val="31"/>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wps:txbx>
                    <wps:bodyPr wrap="none" lIns="0" tIns="0" rIns="0" bIns="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2SNg1xgEAAJsDAAAOAAAAAAAAAAEAIAAAAB4BAABkcnMvZTJvRG9jLnht&#10;bFBLBQYAAAAABgAGAFkBAABWBQAAAAA=&#10;">
              <v:fill on="f" focussize="0,0"/>
              <v:stroke on="f"/>
              <v:imagedata o:title=""/>
              <o:lock v:ext="edit" aspectratio="f"/>
              <v:textbox inset="0mm,0mm,0mm,0mm" style="mso-fit-shape-to-text:t;">
                <w:txbxContent>
                  <w:p w14:paraId="62D779A7">
                    <w:pPr>
                      <w:pStyle w:val="31"/>
                    </w:pPr>
                    <w:r>
                      <w:t xml:space="preserve">第 </w:t>
                    </w:r>
                    <w:r>
                      <w:fldChar w:fldCharType="begin"/>
                    </w:r>
                    <w:r>
                      <w:instrText xml:space="preserve"> PAGE  \* MERGEFORMAT </w:instrText>
                    </w:r>
                    <w:r>
                      <w:fldChar w:fldCharType="separate"/>
                    </w:r>
                    <w:r>
                      <w:t>16</w:t>
                    </w:r>
                    <w:r>
                      <w:fldChar w:fldCharType="end"/>
                    </w:r>
                    <w:r>
                      <w:t xml:space="preserve"> 页 共 </w:t>
                    </w:r>
                    <w:r>
                      <w:fldChar w:fldCharType="begin"/>
                    </w:r>
                    <w:r>
                      <w:instrText xml:space="preserve"> NUMPAGES  \* MERGEFORMAT </w:instrText>
                    </w:r>
                    <w:r>
                      <w:fldChar w:fldCharType="separate"/>
                    </w:r>
                    <w:r>
                      <w:t>22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3CAEAF">
    <w:pPr>
      <w:pStyle w:val="32"/>
      <w:ind w:right="360"/>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D9A6A">
    <w:pPr>
      <w:pStyle w:val="32"/>
      <w:framePr w:wrap="around" w:vAnchor="text" w:hAnchor="margin" w:xAlign="right" w:y="1"/>
      <w:rPr>
        <w:rStyle w:val="49"/>
      </w:rPr>
    </w:pPr>
    <w:r>
      <w:fldChar w:fldCharType="begin"/>
    </w:r>
    <w:r>
      <w:rPr>
        <w:rStyle w:val="49"/>
      </w:rPr>
      <w:instrText xml:space="preserve">PAGE  </w:instrText>
    </w:r>
    <w:r>
      <w:fldChar w:fldCharType="end"/>
    </w:r>
  </w:p>
  <w:p w14:paraId="1259D28A">
    <w:pPr>
      <w:pStyle w:val="32"/>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E82C57">
    <w:pPr>
      <w:pStyle w:val="32"/>
      <w:ind w:right="170" w:rightChars="81"/>
      <w:jc w:val="left"/>
    </w:pPr>
    <w:r>
      <w:rPr>
        <w:szCs w:val="28"/>
      </w:rPr>
      <w:drawing>
        <wp:inline distT="0" distB="0" distL="114300" distR="114300">
          <wp:extent cx="1255395" cy="352425"/>
          <wp:effectExtent l="0" t="0" r="1905" b="9525"/>
          <wp:docPr id="529076614" name="图片 529076614"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076614" name="图片 529076614" descr="新logo"/>
                  <pic:cNvPicPr>
                    <a:picLocks noChangeAspect="1"/>
                  </pic:cNvPicPr>
                </pic:nvPicPr>
                <pic:blipFill>
                  <a:blip r:embed="rId1"/>
                  <a:stretch>
                    <a:fillRect/>
                  </a:stretch>
                </pic:blipFill>
                <pic:spPr>
                  <a:xfrm>
                    <a:off x="0" y="0"/>
                    <a:ext cx="1255395" cy="3524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54B030"/>
    <w:multiLevelType w:val="multilevel"/>
    <w:tmpl w:val="8E54B030"/>
    <w:lvl w:ilvl="0" w:tentative="0">
      <w:start w:val="1"/>
      <w:numFmt w:val="decimal"/>
      <w:lvlText w:val="%1."/>
      <w:lvlJc w:val="left"/>
      <w:pPr>
        <w:ind w:left="425" w:hanging="425"/>
      </w:pPr>
      <w:rPr>
        <w:rFonts w:hint="default"/>
      </w:rPr>
    </w:lvl>
    <w:lvl w:ilvl="1" w:tentative="0">
      <w:start w:val="1"/>
      <w:numFmt w:val="decimal"/>
      <w:lvlText w:val="9.%2."/>
      <w:lvlJc w:val="left"/>
      <w:pPr>
        <w:ind w:left="567" w:hanging="567"/>
      </w:pPr>
      <w:rPr>
        <w:rFonts w:hint="default"/>
      </w:rPr>
    </w:lvl>
    <w:lvl w:ilvl="2" w:tentative="0">
      <w:start w:val="1"/>
      <w:numFmt w:val="decimal"/>
      <w:lvlText w:val="7.%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8FD919C9"/>
    <w:multiLevelType w:val="multilevel"/>
    <w:tmpl w:val="8FD919C9"/>
    <w:lvl w:ilvl="0" w:tentative="0">
      <w:start w:val="1"/>
      <w:numFmt w:val="decimal"/>
      <w:lvlText w:val="%1."/>
      <w:lvlJc w:val="left"/>
      <w:pPr>
        <w:ind w:left="425" w:hanging="425"/>
      </w:pPr>
      <w:rPr>
        <w:rFonts w:hint="default"/>
      </w:rPr>
    </w:lvl>
    <w:lvl w:ilvl="1" w:tentative="0">
      <w:start w:val="1"/>
      <w:numFmt w:val="decimal"/>
      <w:lvlText w:val="12.%2."/>
      <w:lvlJc w:val="left"/>
      <w:pPr>
        <w:ind w:left="567" w:hanging="567"/>
      </w:pPr>
      <w:rPr>
        <w:rFonts w:hint="default"/>
      </w:rPr>
    </w:lvl>
    <w:lvl w:ilvl="2" w:tentative="0">
      <w:start w:val="1"/>
      <w:numFmt w:val="decimal"/>
      <w:lvlText w:val="7.%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9DE999C7"/>
    <w:multiLevelType w:val="multilevel"/>
    <w:tmpl w:val="9DE999C7"/>
    <w:lvl w:ilvl="0" w:tentative="0">
      <w:start w:val="1"/>
      <w:numFmt w:val="decimal"/>
      <w:lvlText w:val="%1."/>
      <w:lvlJc w:val="left"/>
      <w:pPr>
        <w:ind w:left="425" w:hanging="425"/>
      </w:pPr>
      <w:rPr>
        <w:rFonts w:hint="default"/>
      </w:rPr>
    </w:lvl>
    <w:lvl w:ilvl="1" w:tentative="0">
      <w:start w:val="1"/>
      <w:numFmt w:val="decimal"/>
      <w:lvlText w:val="3.%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
    <w:nsid w:val="A0E45A0C"/>
    <w:multiLevelType w:val="singleLevel"/>
    <w:tmpl w:val="A0E45A0C"/>
    <w:lvl w:ilvl="0" w:tentative="0">
      <w:start w:val="1"/>
      <w:numFmt w:val="bullet"/>
      <w:lvlText w:val=""/>
      <w:lvlJc w:val="left"/>
      <w:pPr>
        <w:ind w:left="420" w:hanging="420"/>
      </w:pPr>
      <w:rPr>
        <w:rFonts w:hint="default" w:ascii="Wingdings" w:hAnsi="Wingdings"/>
      </w:rPr>
    </w:lvl>
  </w:abstractNum>
  <w:abstractNum w:abstractNumId="4">
    <w:nsid w:val="A5C93F7B"/>
    <w:multiLevelType w:val="multilevel"/>
    <w:tmpl w:val="A5C93F7B"/>
    <w:lvl w:ilvl="0" w:tentative="0">
      <w:start w:val="1"/>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850" w:hanging="453"/>
      </w:pPr>
      <w:rPr>
        <w:rFonts w:hint="default" w:ascii="宋体" w:hAnsi="宋体" w:eastAsia="宋体" w:cs="宋体"/>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5">
    <w:nsid w:val="ACD0BAC1"/>
    <w:multiLevelType w:val="multilevel"/>
    <w:tmpl w:val="ACD0BAC1"/>
    <w:lvl w:ilvl="0" w:tentative="0">
      <w:start w:val="1"/>
      <w:numFmt w:val="decimal"/>
      <w:lvlText w:val="%1."/>
      <w:lvlJc w:val="left"/>
      <w:pPr>
        <w:ind w:left="425" w:hanging="425"/>
      </w:pPr>
      <w:rPr>
        <w:rFonts w:hint="default"/>
      </w:rPr>
    </w:lvl>
    <w:lvl w:ilvl="1" w:tentative="0">
      <w:start w:val="1"/>
      <w:numFmt w:val="decimal"/>
      <w:lvlText w:val="14.%2."/>
      <w:lvlJc w:val="left"/>
      <w:pPr>
        <w:ind w:left="567" w:hanging="567"/>
      </w:pPr>
      <w:rPr>
        <w:rFonts w:hint="default"/>
      </w:rPr>
    </w:lvl>
    <w:lvl w:ilvl="2" w:tentative="0">
      <w:start w:val="1"/>
      <w:numFmt w:val="decimal"/>
      <w:lvlText w:val="7.%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6">
    <w:nsid w:val="AD33906E"/>
    <w:multiLevelType w:val="multilevel"/>
    <w:tmpl w:val="AD33906E"/>
    <w:lvl w:ilvl="0" w:tentative="0">
      <w:start w:val="1"/>
      <w:numFmt w:val="decimal"/>
      <w:lvlText w:val="3-4-3-%1"/>
      <w:lvlJc w:val="left"/>
      <w:pPr>
        <w:ind w:left="425" w:hanging="425"/>
      </w:pPr>
      <w:rPr>
        <w:rFonts w:hint="default" w:ascii="宋体" w:hAnsi="宋体" w:eastAsia="宋体" w:cs="宋体"/>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7">
    <w:nsid w:val="BD4B08CD"/>
    <w:multiLevelType w:val="multilevel"/>
    <w:tmpl w:val="BD4B08CD"/>
    <w:lvl w:ilvl="0" w:tentative="0">
      <w:start w:val="3"/>
      <w:numFmt w:val="decimal"/>
      <w:lvlText w:val="%1"/>
      <w:lvlJc w:val="left"/>
      <w:pPr>
        <w:ind w:left="425" w:hanging="425"/>
      </w:pPr>
      <w:rPr>
        <w:rFonts w:hint="default" w:ascii="宋体" w:hAnsi="宋体" w:eastAsia="宋体" w:cs="宋体"/>
      </w:rPr>
    </w:lvl>
    <w:lvl w:ilvl="1" w:tentative="0">
      <w:start w:val="1"/>
      <w:numFmt w:val="decimal"/>
      <w:lvlText w:val="%1-%2"/>
      <w:lvlJc w:val="left"/>
      <w:pPr>
        <w:ind w:left="850" w:hanging="453"/>
      </w:pPr>
      <w:rPr>
        <w:rFonts w:hint="default" w:ascii="宋体" w:hAnsi="宋体" w:eastAsia="宋体" w:cs="宋体"/>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8">
    <w:nsid w:val="C631B35E"/>
    <w:multiLevelType w:val="multilevel"/>
    <w:tmpl w:val="C631B35E"/>
    <w:lvl w:ilvl="0" w:tentative="0">
      <w:start w:val="1"/>
      <w:numFmt w:val="ideographDigital"/>
      <w:lvlText w:val="%1、"/>
      <w:lvlJc w:val="left"/>
      <w:pPr>
        <w:tabs>
          <w:tab w:val="left" w:pos="4608"/>
        </w:tabs>
        <w:ind w:left="4608" w:hanging="648"/>
      </w:pPr>
      <w:rPr>
        <w:rFonts w:hint="eastAsia"/>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C7B2EA85"/>
    <w:multiLevelType w:val="multilevel"/>
    <w:tmpl w:val="C7B2EA85"/>
    <w:lvl w:ilvl="0" w:tentative="0">
      <w:start w:val="1"/>
      <w:numFmt w:val="decimal"/>
      <w:lvlText w:val="%1."/>
      <w:lvlJc w:val="left"/>
      <w:pPr>
        <w:ind w:left="425" w:hanging="425"/>
      </w:pPr>
      <w:rPr>
        <w:rFonts w:hint="default"/>
      </w:rPr>
    </w:lvl>
    <w:lvl w:ilvl="1" w:tentative="0">
      <w:start w:val="1"/>
      <w:numFmt w:val="decimal"/>
      <w:lvlText w:val="5.%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0">
    <w:nsid w:val="C889E388"/>
    <w:multiLevelType w:val="singleLevel"/>
    <w:tmpl w:val="C889E388"/>
    <w:lvl w:ilvl="0" w:tentative="0">
      <w:start w:val="1"/>
      <w:numFmt w:val="decimal"/>
      <w:suff w:val="nothing"/>
      <w:lvlText w:val="（%1）"/>
      <w:lvlJc w:val="left"/>
    </w:lvl>
  </w:abstractNum>
  <w:abstractNum w:abstractNumId="11">
    <w:nsid w:val="CAE179A2"/>
    <w:multiLevelType w:val="multilevel"/>
    <w:tmpl w:val="CAE179A2"/>
    <w:lvl w:ilvl="0" w:tentative="0">
      <w:start w:val="1"/>
      <w:numFmt w:val="decimal"/>
      <w:lvlText w:val="%1."/>
      <w:lvlJc w:val="left"/>
      <w:pPr>
        <w:ind w:left="425" w:hanging="425"/>
      </w:pPr>
      <w:rPr>
        <w:rFonts w:hint="default"/>
      </w:rPr>
    </w:lvl>
    <w:lvl w:ilvl="1" w:tentative="0">
      <w:start w:val="1"/>
      <w:numFmt w:val="decimal"/>
      <w:lvlText w:val="13.%2."/>
      <w:lvlJc w:val="left"/>
      <w:pPr>
        <w:ind w:left="567" w:hanging="567"/>
      </w:pPr>
      <w:rPr>
        <w:rFonts w:hint="default"/>
      </w:rPr>
    </w:lvl>
    <w:lvl w:ilvl="2" w:tentative="0">
      <w:start w:val="1"/>
      <w:numFmt w:val="decimal"/>
      <w:lvlText w:val="7.%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2">
    <w:nsid w:val="CC62F2F1"/>
    <w:multiLevelType w:val="multilevel"/>
    <w:tmpl w:val="CC62F2F1"/>
    <w:lvl w:ilvl="0" w:tentative="0">
      <w:start w:val="1"/>
      <w:numFmt w:val="decimal"/>
      <w:lvlText w:val="%1."/>
      <w:lvlJc w:val="left"/>
      <w:pPr>
        <w:ind w:left="425" w:hanging="425"/>
      </w:pPr>
      <w:rPr>
        <w:rFonts w:hint="default"/>
      </w:rPr>
    </w:lvl>
    <w:lvl w:ilvl="1" w:tentative="0">
      <w:start w:val="1"/>
      <w:numFmt w:val="decimal"/>
      <w:lvlText w:val="7.%2."/>
      <w:lvlJc w:val="left"/>
      <w:pPr>
        <w:ind w:left="567" w:hanging="567"/>
      </w:pPr>
      <w:rPr>
        <w:rFonts w:hint="default"/>
      </w:rPr>
    </w:lvl>
    <w:lvl w:ilvl="2" w:tentative="0">
      <w:start w:val="1"/>
      <w:numFmt w:val="decimal"/>
      <w:suff w:val="space"/>
      <w:lvlText w:val="7.%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3">
    <w:nsid w:val="CFF157A7"/>
    <w:multiLevelType w:val="multilevel"/>
    <w:tmpl w:val="CFF157A7"/>
    <w:lvl w:ilvl="0" w:tentative="0">
      <w:start w:val="1"/>
      <w:numFmt w:val="decimal"/>
      <w:lvlText w:val="%1."/>
      <w:lvlJc w:val="left"/>
      <w:pPr>
        <w:ind w:left="425" w:hanging="425"/>
      </w:pPr>
      <w:rPr>
        <w:rFonts w:hint="default"/>
      </w:rPr>
    </w:lvl>
    <w:lvl w:ilvl="1" w:tentative="0">
      <w:start w:val="1"/>
      <w:numFmt w:val="decimal"/>
      <w:lvlText w:val="6.%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4">
    <w:nsid w:val="D3E5C69D"/>
    <w:multiLevelType w:val="multilevel"/>
    <w:tmpl w:val="D3E5C69D"/>
    <w:lvl w:ilvl="0" w:tentative="0">
      <w:start w:val="1"/>
      <w:numFmt w:val="decimal"/>
      <w:lvlText w:val="%1."/>
      <w:lvlJc w:val="left"/>
      <w:pPr>
        <w:ind w:left="425" w:hanging="425"/>
      </w:pPr>
      <w:rPr>
        <w:rFonts w:hint="default"/>
      </w:rPr>
    </w:lvl>
    <w:lvl w:ilvl="1" w:tentative="0">
      <w:start w:val="1"/>
      <w:numFmt w:val="decimal"/>
      <w:lvlText w:val="10.%2."/>
      <w:lvlJc w:val="left"/>
      <w:pPr>
        <w:ind w:left="567" w:hanging="567"/>
      </w:pPr>
      <w:rPr>
        <w:rFonts w:hint="default"/>
      </w:rPr>
    </w:lvl>
    <w:lvl w:ilvl="2" w:tentative="0">
      <w:start w:val="1"/>
      <w:numFmt w:val="decimal"/>
      <w:lvlText w:val="7.%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5">
    <w:nsid w:val="EE97E69F"/>
    <w:multiLevelType w:val="multilevel"/>
    <w:tmpl w:val="EE97E69F"/>
    <w:lvl w:ilvl="0" w:tentative="0">
      <w:start w:val="1"/>
      <w:numFmt w:val="decimal"/>
      <w:lvlText w:val="3-4-%1"/>
      <w:lvlJc w:val="left"/>
      <w:pPr>
        <w:ind w:left="425" w:hanging="425"/>
      </w:pPr>
      <w:rPr>
        <w:rFonts w:hint="default" w:ascii="宋体" w:hAnsi="宋体" w:eastAsia="宋体" w:cs="宋体"/>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16">
    <w:nsid w:val="F0E22C26"/>
    <w:multiLevelType w:val="multilevel"/>
    <w:tmpl w:val="F0E22C26"/>
    <w:lvl w:ilvl="0" w:tentative="0">
      <w:start w:val="1"/>
      <w:numFmt w:val="decimal"/>
      <w:lvlText w:val="%1."/>
      <w:lvlJc w:val="left"/>
      <w:pPr>
        <w:ind w:left="425" w:hanging="425"/>
      </w:pPr>
      <w:rPr>
        <w:rFonts w:hint="default"/>
      </w:rPr>
    </w:lvl>
    <w:lvl w:ilvl="1" w:tentative="0">
      <w:start w:val="1"/>
      <w:numFmt w:val="decimal"/>
      <w:lvlText w:val="2.%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7">
    <w:nsid w:val="F46AE7DF"/>
    <w:multiLevelType w:val="multilevel"/>
    <w:tmpl w:val="F46AE7DF"/>
    <w:lvl w:ilvl="0" w:tentative="0">
      <w:start w:val="1"/>
      <w:numFmt w:val="decimal"/>
      <w:lvlText w:val="%1."/>
      <w:lvlJc w:val="left"/>
      <w:pPr>
        <w:ind w:left="425" w:hanging="425"/>
      </w:pPr>
      <w:rPr>
        <w:rFonts w:hint="default"/>
      </w:rPr>
    </w:lvl>
    <w:lvl w:ilvl="1" w:tentative="0">
      <w:start w:val="1"/>
      <w:numFmt w:val="decimal"/>
      <w:lvlText w:val="8.%2."/>
      <w:lvlJc w:val="left"/>
      <w:pPr>
        <w:ind w:left="567" w:hanging="567"/>
      </w:pPr>
      <w:rPr>
        <w:rFonts w:hint="default"/>
      </w:rPr>
    </w:lvl>
    <w:lvl w:ilvl="2" w:tentative="0">
      <w:start w:val="1"/>
      <w:numFmt w:val="decimal"/>
      <w:lvlText w:val="7.%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8">
    <w:nsid w:val="FAB445B1"/>
    <w:multiLevelType w:val="multilevel"/>
    <w:tmpl w:val="FAB445B1"/>
    <w:lvl w:ilvl="0" w:tentative="0">
      <w:start w:val="1"/>
      <w:numFmt w:val="decimal"/>
      <w:lvlText w:val="3-4-4-%1"/>
      <w:lvlJc w:val="left"/>
      <w:pPr>
        <w:ind w:left="425" w:hanging="425"/>
      </w:pPr>
      <w:rPr>
        <w:rFonts w:hint="default" w:ascii="宋体" w:hAnsi="宋体" w:eastAsia="宋体" w:cs="宋体"/>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19">
    <w:nsid w:val="FC9FAC01"/>
    <w:multiLevelType w:val="multilevel"/>
    <w:tmpl w:val="FC9FAC01"/>
    <w:lvl w:ilvl="0" w:tentative="0">
      <w:start w:val="1"/>
      <w:numFmt w:val="decimal"/>
      <w:lvlText w:val="3-%1"/>
      <w:lvlJc w:val="left"/>
      <w:pPr>
        <w:ind w:left="425" w:hanging="425"/>
      </w:pPr>
      <w:rPr>
        <w:rFonts w:hint="default" w:ascii="宋体" w:hAnsi="宋体" w:eastAsia="宋体" w:cs="宋体"/>
      </w:rPr>
    </w:lvl>
    <w:lvl w:ilvl="1" w:tentative="0">
      <w:start w:val="1"/>
      <w:numFmt w:val="decimal"/>
      <w:lvlText w:val="3-%1-%2"/>
      <w:lvlJc w:val="left"/>
      <w:pPr>
        <w:ind w:left="850" w:hanging="453"/>
      </w:pPr>
      <w:rPr>
        <w:rFonts w:hint="default" w:ascii="宋体" w:hAnsi="宋体" w:eastAsia="宋体" w:cs="宋体"/>
      </w:rPr>
    </w:lvl>
    <w:lvl w:ilvl="2" w:tentative="0">
      <w:start w:val="1"/>
      <w:numFmt w:val="decimal"/>
      <w:lvlText w:val="3-%1-%2-%3"/>
      <w:lvlJc w:val="left"/>
      <w:pPr>
        <w:ind w:left="1508" w:hanging="708"/>
      </w:pPr>
      <w:rPr>
        <w:rFonts w:hint="default" w:ascii="宋体" w:hAnsi="宋体" w:eastAsia="宋体" w:cs="宋体"/>
        <w:b w:val="0"/>
        <w:bCs w:val="0"/>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20">
    <w:nsid w:val="FDAEA8E3"/>
    <w:multiLevelType w:val="multilevel"/>
    <w:tmpl w:val="FDAEA8E3"/>
    <w:lvl w:ilvl="0" w:tentative="0">
      <w:start w:val="1"/>
      <w:numFmt w:val="ideographDigital"/>
      <w:lvlText w:val="%1、"/>
      <w:lvlJc w:val="left"/>
      <w:pPr>
        <w:tabs>
          <w:tab w:val="left" w:pos="4608"/>
        </w:tabs>
        <w:ind w:left="4608" w:hanging="648"/>
      </w:pPr>
      <w:rPr>
        <w:rFonts w:hint="eastAsia"/>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1">
    <w:nsid w:val="0401478A"/>
    <w:multiLevelType w:val="multilevel"/>
    <w:tmpl w:val="0401478A"/>
    <w:lvl w:ilvl="0" w:tentative="0">
      <w:start w:val="1"/>
      <w:numFmt w:val="ideographDigital"/>
      <w:lvlText w:val="%1、"/>
      <w:lvlJc w:val="left"/>
      <w:pPr>
        <w:tabs>
          <w:tab w:val="left" w:pos="4608"/>
        </w:tabs>
        <w:ind w:left="4608" w:hanging="648"/>
      </w:pPr>
      <w:rPr>
        <w:rFonts w:hint="eastAsia"/>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05FE1D8F"/>
    <w:multiLevelType w:val="multilevel"/>
    <w:tmpl w:val="05FE1D8F"/>
    <w:lvl w:ilvl="0" w:tentative="0">
      <w:start w:val="1"/>
      <w:numFmt w:val="decimal"/>
      <w:lvlText w:val="%1."/>
      <w:lvlJc w:val="left"/>
      <w:pPr>
        <w:ind w:left="425" w:hanging="425"/>
      </w:pPr>
      <w:rPr>
        <w:rFonts w:hint="default"/>
      </w:rPr>
    </w:lvl>
    <w:lvl w:ilvl="1" w:tentative="0">
      <w:start w:val="1"/>
      <w:numFmt w:val="decimal"/>
      <w:lvlText w:val="11.%2."/>
      <w:lvlJc w:val="left"/>
      <w:pPr>
        <w:ind w:left="567" w:hanging="567"/>
      </w:pPr>
      <w:rPr>
        <w:rFonts w:hint="default"/>
      </w:rPr>
    </w:lvl>
    <w:lvl w:ilvl="2" w:tentative="0">
      <w:start w:val="1"/>
      <w:numFmt w:val="decimal"/>
      <w:lvlText w:val="7.%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3">
    <w:nsid w:val="1AEB2141"/>
    <w:multiLevelType w:val="multilevel"/>
    <w:tmpl w:val="1AEB2141"/>
    <w:lvl w:ilvl="0" w:tentative="0">
      <w:start w:val="4"/>
      <w:numFmt w:val="decimal"/>
      <w:lvlText w:val="%1"/>
      <w:lvlJc w:val="left"/>
      <w:pPr>
        <w:tabs>
          <w:tab w:val="left" w:pos="360"/>
        </w:tabs>
        <w:ind w:left="360" w:hanging="360"/>
      </w:pPr>
      <w:rPr>
        <w:rFonts w:hint="eastAsia"/>
      </w:rPr>
    </w:lvl>
    <w:lvl w:ilvl="1" w:tentative="0">
      <w:start w:val="1"/>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default" w:ascii="宋体" w:hAnsi="宋体" w:eastAsia="宋体" w:cs="宋体"/>
      </w:rPr>
    </w:lvl>
    <w:lvl w:ilvl="3" w:tentative="0">
      <w:start w:val="1"/>
      <w:numFmt w:val="decimal"/>
      <w:lvlText w:val="%1-%2-%3-%4"/>
      <w:lvlJc w:val="left"/>
      <w:pPr>
        <w:tabs>
          <w:tab w:val="left" w:pos="1080"/>
        </w:tabs>
        <w:ind w:left="1080" w:hanging="1080"/>
      </w:pPr>
      <w:rPr>
        <w:rFonts w:hint="default" w:ascii="宋体" w:hAnsi="宋体" w:eastAsia="宋体" w:cs="宋体"/>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2160"/>
        </w:tabs>
        <w:ind w:left="2160" w:hanging="2160"/>
      </w:pPr>
      <w:rPr>
        <w:rFonts w:hint="eastAsia"/>
      </w:rPr>
    </w:lvl>
  </w:abstractNum>
  <w:abstractNum w:abstractNumId="24">
    <w:nsid w:val="1FB9417C"/>
    <w:multiLevelType w:val="singleLevel"/>
    <w:tmpl w:val="1FB9417C"/>
    <w:lvl w:ilvl="0" w:tentative="0">
      <w:start w:val="1"/>
      <w:numFmt w:val="decimal"/>
      <w:lvlText w:val="(%1)"/>
      <w:lvlJc w:val="left"/>
      <w:pPr>
        <w:ind w:left="425" w:hanging="425"/>
      </w:pPr>
      <w:rPr>
        <w:rFonts w:hint="default"/>
      </w:rPr>
    </w:lvl>
  </w:abstractNum>
  <w:abstractNum w:abstractNumId="25">
    <w:nsid w:val="1FD447ED"/>
    <w:multiLevelType w:val="multilevel"/>
    <w:tmpl w:val="1FD447ED"/>
    <w:lvl w:ilvl="0" w:tentative="0">
      <w:start w:val="1"/>
      <w:numFmt w:val="decimal"/>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210AE473"/>
    <w:multiLevelType w:val="multilevel"/>
    <w:tmpl w:val="210AE473"/>
    <w:lvl w:ilvl="0" w:tentative="0">
      <w:start w:val="1"/>
      <w:numFmt w:val="ideographDigital"/>
      <w:suff w:val="nothing"/>
      <w:lvlText w:val="%1、"/>
      <w:lvlJc w:val="left"/>
      <w:pPr>
        <w:ind w:left="4608" w:hanging="648"/>
      </w:pPr>
      <w:rPr>
        <w:rFonts w:hint="eastAsia"/>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228803E7"/>
    <w:multiLevelType w:val="multilevel"/>
    <w:tmpl w:val="228803E7"/>
    <w:lvl w:ilvl="0" w:tentative="0">
      <w:start w:val="1"/>
      <w:numFmt w:val="decimal"/>
      <w:lvlText w:val="%1"/>
      <w:lvlJc w:val="left"/>
      <w:pPr>
        <w:tabs>
          <w:tab w:val="left" w:pos="780"/>
        </w:tabs>
        <w:ind w:left="780" w:hanging="780"/>
      </w:pPr>
      <w:rPr>
        <w:rFonts w:hint="eastAsia"/>
        <w:b/>
      </w:rPr>
    </w:lvl>
    <w:lvl w:ilvl="1" w:tentative="0">
      <w:start w:val="1"/>
      <w:numFmt w:val="decimal"/>
      <w:lvlText w:val="%1-%2"/>
      <w:lvlJc w:val="left"/>
      <w:pPr>
        <w:tabs>
          <w:tab w:val="left" w:pos="780"/>
        </w:tabs>
        <w:ind w:left="780" w:hanging="780"/>
      </w:pPr>
      <w:rPr>
        <w:rFonts w:hint="eastAsia"/>
        <w:b/>
      </w:rPr>
    </w:lvl>
    <w:lvl w:ilvl="2" w:tentative="0">
      <w:start w:val="6"/>
      <w:numFmt w:val="decimal"/>
      <w:lvlText w:val="%1-%2-%3"/>
      <w:lvlJc w:val="left"/>
      <w:pPr>
        <w:tabs>
          <w:tab w:val="left" w:pos="780"/>
        </w:tabs>
        <w:ind w:left="780" w:hanging="78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28">
    <w:nsid w:val="2A24F0BF"/>
    <w:multiLevelType w:val="multilevel"/>
    <w:tmpl w:val="2A24F0BF"/>
    <w:lvl w:ilvl="0" w:tentative="0">
      <w:start w:val="1"/>
      <w:numFmt w:val="decimal"/>
      <w:lvlText w:val="3-4-2-%1"/>
      <w:lvlJc w:val="left"/>
      <w:pPr>
        <w:ind w:left="425" w:hanging="425"/>
      </w:pPr>
      <w:rPr>
        <w:rFonts w:hint="default" w:ascii="宋体" w:hAnsi="宋体" w:eastAsia="宋体" w:cs="宋体"/>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29">
    <w:nsid w:val="2B58218D"/>
    <w:multiLevelType w:val="singleLevel"/>
    <w:tmpl w:val="2B58218D"/>
    <w:lvl w:ilvl="0" w:tentative="0">
      <w:start w:val="1"/>
      <w:numFmt w:val="chineseCounting"/>
      <w:suff w:val="nothing"/>
      <w:lvlText w:val="第%1章"/>
      <w:lvlJc w:val="left"/>
      <w:pPr>
        <w:ind w:left="0" w:firstLine="420"/>
      </w:pPr>
      <w:rPr>
        <w:rFonts w:hint="eastAsia"/>
      </w:rPr>
    </w:lvl>
  </w:abstractNum>
  <w:abstractNum w:abstractNumId="30">
    <w:nsid w:val="2BF4648C"/>
    <w:multiLevelType w:val="multilevel"/>
    <w:tmpl w:val="2BF4648C"/>
    <w:lvl w:ilvl="0" w:tentative="0">
      <w:start w:val="1"/>
      <w:numFmt w:val="decimal"/>
      <w:lvlText w:val="%1"/>
      <w:lvlJc w:val="left"/>
      <w:pPr>
        <w:tabs>
          <w:tab w:val="left" w:pos="615"/>
        </w:tabs>
        <w:ind w:left="615" w:hanging="615"/>
      </w:pPr>
      <w:rPr>
        <w:rFonts w:hint="eastAsia"/>
      </w:rPr>
    </w:lvl>
    <w:lvl w:ilvl="1" w:tentative="0">
      <w:start w:val="2"/>
      <w:numFmt w:val="decimal"/>
      <w:lvlRestart w:val="0"/>
      <w:lvlText w:val="%1.%2"/>
      <w:lvlJc w:val="left"/>
      <w:pPr>
        <w:tabs>
          <w:tab w:val="left" w:pos="615"/>
        </w:tabs>
        <w:ind w:left="615" w:hanging="615"/>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720"/>
        </w:tabs>
        <w:ind w:left="720" w:hanging="72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31">
    <w:nsid w:val="2DFB1F0B"/>
    <w:multiLevelType w:val="multilevel"/>
    <w:tmpl w:val="2DFB1F0B"/>
    <w:lvl w:ilvl="0" w:tentative="0">
      <w:start w:val="1"/>
      <w:numFmt w:val="decimal"/>
      <w:lvlText w:val="（%1）"/>
      <w:lvlJc w:val="left"/>
      <w:pPr>
        <w:tabs>
          <w:tab w:val="left" w:pos="720"/>
        </w:tabs>
        <w:ind w:left="420" w:hanging="420"/>
      </w:pPr>
      <w:rPr>
        <w:rFonts w:hint="eastAsia"/>
        <w:lang w:val="en-US"/>
      </w:rPr>
    </w:lvl>
    <w:lvl w:ilvl="1" w:tentative="0">
      <w:start w:val="1"/>
      <w:numFmt w:val="decimal"/>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2">
    <w:nsid w:val="2E2E63B1"/>
    <w:multiLevelType w:val="multilevel"/>
    <w:tmpl w:val="2E2E63B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3">
    <w:nsid w:val="30359082"/>
    <w:multiLevelType w:val="multilevel"/>
    <w:tmpl w:val="30359082"/>
    <w:lvl w:ilvl="0" w:tentative="0">
      <w:start w:val="1"/>
      <w:numFmt w:val="decimal"/>
      <w:lvlText w:val="%1."/>
      <w:lvlJc w:val="left"/>
      <w:pPr>
        <w:ind w:left="425" w:hanging="425"/>
      </w:pPr>
      <w:rPr>
        <w:rFonts w:hint="default"/>
      </w:rPr>
    </w:lvl>
    <w:lvl w:ilvl="1" w:tentative="0">
      <w:start w:val="1"/>
      <w:numFmt w:val="decimal"/>
      <w:lvlText w:val="4.%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4">
    <w:nsid w:val="33C67936"/>
    <w:multiLevelType w:val="multilevel"/>
    <w:tmpl w:val="33C67936"/>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5">
    <w:nsid w:val="3766002A"/>
    <w:multiLevelType w:val="singleLevel"/>
    <w:tmpl w:val="3766002A"/>
    <w:lvl w:ilvl="0" w:tentative="0">
      <w:start w:val="1"/>
      <w:numFmt w:val="decimal"/>
      <w:pStyle w:val="2"/>
      <w:lvlText w:val="%1．"/>
      <w:lvlJc w:val="left"/>
      <w:pPr>
        <w:tabs>
          <w:tab w:val="left" w:pos="660"/>
        </w:tabs>
        <w:ind w:left="660" w:hanging="660"/>
      </w:pPr>
      <w:rPr>
        <w:rFonts w:hint="eastAsia"/>
        <w:sz w:val="44"/>
      </w:rPr>
    </w:lvl>
  </w:abstractNum>
  <w:abstractNum w:abstractNumId="36">
    <w:nsid w:val="4104F1C0"/>
    <w:multiLevelType w:val="singleLevel"/>
    <w:tmpl w:val="4104F1C0"/>
    <w:lvl w:ilvl="0" w:tentative="0">
      <w:start w:val="1"/>
      <w:numFmt w:val="decimal"/>
      <w:suff w:val="nothing"/>
      <w:lvlText w:val="（%1）"/>
      <w:lvlJc w:val="left"/>
    </w:lvl>
  </w:abstractNum>
  <w:abstractNum w:abstractNumId="37">
    <w:nsid w:val="429B68F2"/>
    <w:multiLevelType w:val="multilevel"/>
    <w:tmpl w:val="429B68F2"/>
    <w:lvl w:ilvl="0" w:tentative="0">
      <w:start w:val="1"/>
      <w:numFmt w:val="decimal"/>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8">
    <w:nsid w:val="42F61470"/>
    <w:multiLevelType w:val="multilevel"/>
    <w:tmpl w:val="42F61470"/>
    <w:lvl w:ilvl="0" w:tentative="0">
      <w:start w:val="1"/>
      <w:numFmt w:val="decimal"/>
      <w:lvlText w:val="%1"/>
      <w:lvlJc w:val="left"/>
      <w:pPr>
        <w:tabs>
          <w:tab w:val="left" w:pos="360"/>
        </w:tabs>
        <w:ind w:left="360" w:hanging="360"/>
      </w:pPr>
      <w:rPr>
        <w:rFonts w:hint="eastAsia"/>
        <w:b/>
      </w:rPr>
    </w:lvl>
    <w:lvl w:ilvl="1" w:tentative="0">
      <w:start w:val="1"/>
      <w:numFmt w:val="decimal"/>
      <w:lvlText w:val="%1-%2"/>
      <w:lvlJc w:val="left"/>
      <w:pPr>
        <w:tabs>
          <w:tab w:val="left" w:pos="360"/>
        </w:tabs>
        <w:ind w:left="360" w:hanging="360"/>
      </w:pPr>
      <w:rPr>
        <w:rFonts w:hint="eastAsia"/>
        <w:b/>
      </w:rPr>
    </w:lvl>
    <w:lvl w:ilvl="2" w:tentative="0">
      <w:start w:val="1"/>
      <w:numFmt w:val="decimal"/>
      <w:lvlText w:val="%1-%2.%3"/>
      <w:lvlJc w:val="left"/>
      <w:pPr>
        <w:tabs>
          <w:tab w:val="left" w:pos="720"/>
        </w:tabs>
        <w:ind w:left="720" w:hanging="72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2160"/>
        </w:tabs>
        <w:ind w:left="2160" w:hanging="2160"/>
      </w:pPr>
      <w:rPr>
        <w:rFonts w:hint="eastAsia"/>
        <w:b/>
      </w:rPr>
    </w:lvl>
  </w:abstractNum>
  <w:abstractNum w:abstractNumId="39">
    <w:nsid w:val="4832E161"/>
    <w:multiLevelType w:val="multilevel"/>
    <w:tmpl w:val="4832E161"/>
    <w:lvl w:ilvl="0" w:tentative="0">
      <w:start w:val="1"/>
      <w:numFmt w:val="ideographDigital"/>
      <w:lvlText w:val="%1、"/>
      <w:lvlJc w:val="left"/>
      <w:pPr>
        <w:tabs>
          <w:tab w:val="left" w:pos="4608"/>
        </w:tabs>
        <w:ind w:left="4608" w:hanging="648"/>
      </w:pPr>
      <w:rPr>
        <w:rFonts w:hint="eastAsia"/>
      </w:rPr>
    </w:lvl>
    <w:lvl w:ilvl="1" w:tentative="0">
      <w:start w:val="1"/>
      <w:numFmt w:val="decimal"/>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0">
    <w:nsid w:val="48972B15"/>
    <w:multiLevelType w:val="singleLevel"/>
    <w:tmpl w:val="48972B15"/>
    <w:lvl w:ilvl="0" w:tentative="0">
      <w:start w:val="1"/>
      <w:numFmt w:val="decimal"/>
      <w:suff w:val="nothing"/>
      <w:lvlText w:val="（%1）"/>
      <w:lvlJc w:val="left"/>
    </w:lvl>
  </w:abstractNum>
  <w:abstractNum w:abstractNumId="41">
    <w:nsid w:val="4CEB23BA"/>
    <w:multiLevelType w:val="multilevel"/>
    <w:tmpl w:val="4CEB23BA"/>
    <w:lvl w:ilvl="0" w:tentative="0">
      <w:start w:val="1"/>
      <w:numFmt w:val="decimal"/>
      <w:lvlText w:val="（%1）"/>
      <w:lvlJc w:val="left"/>
      <w:pPr>
        <w:tabs>
          <w:tab w:val="left" w:pos="1098"/>
        </w:tabs>
        <w:ind w:left="798" w:hanging="420"/>
      </w:pPr>
      <w:rPr>
        <w:rFonts w:hint="eastAsia"/>
      </w:rPr>
    </w:lvl>
    <w:lvl w:ilvl="1" w:tentative="0">
      <w:start w:val="1"/>
      <w:numFmt w:val="lowerLetter"/>
      <w:lvlText w:val="%2)"/>
      <w:lvlJc w:val="left"/>
      <w:pPr>
        <w:tabs>
          <w:tab w:val="left" w:pos="1218"/>
        </w:tabs>
        <w:ind w:left="1218" w:hanging="420"/>
      </w:pPr>
    </w:lvl>
    <w:lvl w:ilvl="2" w:tentative="0">
      <w:start w:val="1"/>
      <w:numFmt w:val="lowerRoman"/>
      <w:lvlText w:val="%3."/>
      <w:lvlJc w:val="right"/>
      <w:pPr>
        <w:tabs>
          <w:tab w:val="left" w:pos="1638"/>
        </w:tabs>
        <w:ind w:left="1638" w:hanging="420"/>
      </w:pPr>
    </w:lvl>
    <w:lvl w:ilvl="3" w:tentative="0">
      <w:start w:val="1"/>
      <w:numFmt w:val="decimal"/>
      <w:lvlText w:val="%4."/>
      <w:lvlJc w:val="left"/>
      <w:pPr>
        <w:tabs>
          <w:tab w:val="left" w:pos="2058"/>
        </w:tabs>
        <w:ind w:left="2058" w:hanging="420"/>
      </w:pPr>
    </w:lvl>
    <w:lvl w:ilvl="4" w:tentative="0">
      <w:start w:val="1"/>
      <w:numFmt w:val="lowerLetter"/>
      <w:lvlText w:val="%5)"/>
      <w:lvlJc w:val="left"/>
      <w:pPr>
        <w:tabs>
          <w:tab w:val="left" w:pos="2478"/>
        </w:tabs>
        <w:ind w:left="2478" w:hanging="420"/>
      </w:pPr>
    </w:lvl>
    <w:lvl w:ilvl="5" w:tentative="0">
      <w:start w:val="1"/>
      <w:numFmt w:val="lowerRoman"/>
      <w:lvlText w:val="%6."/>
      <w:lvlJc w:val="right"/>
      <w:pPr>
        <w:tabs>
          <w:tab w:val="left" w:pos="2898"/>
        </w:tabs>
        <w:ind w:left="2898" w:hanging="420"/>
      </w:pPr>
    </w:lvl>
    <w:lvl w:ilvl="6" w:tentative="0">
      <w:start w:val="1"/>
      <w:numFmt w:val="decimal"/>
      <w:lvlText w:val="%7."/>
      <w:lvlJc w:val="left"/>
      <w:pPr>
        <w:tabs>
          <w:tab w:val="left" w:pos="3318"/>
        </w:tabs>
        <w:ind w:left="3318" w:hanging="420"/>
      </w:pPr>
    </w:lvl>
    <w:lvl w:ilvl="7" w:tentative="0">
      <w:start w:val="1"/>
      <w:numFmt w:val="lowerLetter"/>
      <w:lvlText w:val="%8)"/>
      <w:lvlJc w:val="left"/>
      <w:pPr>
        <w:tabs>
          <w:tab w:val="left" w:pos="3738"/>
        </w:tabs>
        <w:ind w:left="3738" w:hanging="420"/>
      </w:pPr>
    </w:lvl>
    <w:lvl w:ilvl="8" w:tentative="0">
      <w:start w:val="1"/>
      <w:numFmt w:val="lowerRoman"/>
      <w:lvlText w:val="%9."/>
      <w:lvlJc w:val="right"/>
      <w:pPr>
        <w:tabs>
          <w:tab w:val="left" w:pos="4158"/>
        </w:tabs>
        <w:ind w:left="4158" w:hanging="420"/>
      </w:pPr>
    </w:lvl>
  </w:abstractNum>
  <w:abstractNum w:abstractNumId="42">
    <w:nsid w:val="58272EE7"/>
    <w:multiLevelType w:val="singleLevel"/>
    <w:tmpl w:val="58272EE7"/>
    <w:lvl w:ilvl="0" w:tentative="0">
      <w:start w:val="1"/>
      <w:numFmt w:val="decimal"/>
      <w:suff w:val="nothing"/>
      <w:lvlText w:val="（%1）"/>
      <w:lvlJc w:val="left"/>
    </w:lvl>
  </w:abstractNum>
  <w:abstractNum w:abstractNumId="43">
    <w:nsid w:val="678F1C66"/>
    <w:multiLevelType w:val="singleLevel"/>
    <w:tmpl w:val="678F1C66"/>
    <w:lvl w:ilvl="0" w:tentative="0">
      <w:start w:val="1"/>
      <w:numFmt w:val="decimal"/>
      <w:lvlText w:val="（%1）"/>
      <w:lvlJc w:val="left"/>
      <w:pPr>
        <w:tabs>
          <w:tab w:val="left" w:pos="720"/>
        </w:tabs>
        <w:ind w:left="420" w:hanging="420"/>
      </w:pPr>
      <w:rPr>
        <w:rFonts w:hint="eastAsia"/>
      </w:rPr>
    </w:lvl>
  </w:abstractNum>
  <w:abstractNum w:abstractNumId="44">
    <w:nsid w:val="6CC6EFEA"/>
    <w:multiLevelType w:val="multilevel"/>
    <w:tmpl w:val="6CC6EFEA"/>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5">
    <w:nsid w:val="6FDC4846"/>
    <w:multiLevelType w:val="singleLevel"/>
    <w:tmpl w:val="6FDC4846"/>
    <w:lvl w:ilvl="0" w:tentative="0">
      <w:start w:val="1"/>
      <w:numFmt w:val="decimal"/>
      <w:suff w:val="nothing"/>
      <w:lvlText w:val="（%1）"/>
      <w:lvlJc w:val="left"/>
    </w:lvl>
  </w:abstractNum>
  <w:abstractNum w:abstractNumId="46">
    <w:nsid w:val="76013EBA"/>
    <w:multiLevelType w:val="singleLevel"/>
    <w:tmpl w:val="76013EBA"/>
    <w:lvl w:ilvl="0" w:tentative="0">
      <w:start w:val="1"/>
      <w:numFmt w:val="decimal"/>
      <w:lvlText w:val="(%1)"/>
      <w:lvlJc w:val="left"/>
      <w:pPr>
        <w:ind w:left="425" w:hanging="425"/>
      </w:pPr>
      <w:rPr>
        <w:rFonts w:hint="default"/>
      </w:rPr>
    </w:lvl>
  </w:abstractNum>
  <w:abstractNum w:abstractNumId="47">
    <w:nsid w:val="79563007"/>
    <w:multiLevelType w:val="multilevel"/>
    <w:tmpl w:val="79563007"/>
    <w:lvl w:ilvl="0" w:tentative="0">
      <w:start w:val="1"/>
      <w:numFmt w:val="decimal"/>
      <w:lvlText w:val="%1"/>
      <w:lvlJc w:val="left"/>
      <w:pPr>
        <w:tabs>
          <w:tab w:val="left" w:pos="360"/>
        </w:tabs>
        <w:ind w:left="360" w:hanging="360"/>
      </w:pPr>
      <w:rPr>
        <w:rFonts w:hint="eastAsia"/>
        <w:b/>
      </w:rPr>
    </w:lvl>
    <w:lvl w:ilvl="1" w:tentative="0">
      <w:start w:val="1"/>
      <w:numFmt w:val="decimal"/>
      <w:lvlText w:val="%1-%2"/>
      <w:lvlJc w:val="left"/>
      <w:pPr>
        <w:tabs>
          <w:tab w:val="left" w:pos="360"/>
        </w:tabs>
        <w:ind w:left="360" w:hanging="360"/>
      </w:pPr>
      <w:rPr>
        <w:rFonts w:hint="eastAsia"/>
        <w:b/>
      </w:rPr>
    </w:lvl>
    <w:lvl w:ilvl="2" w:tentative="0">
      <w:start w:val="1"/>
      <w:numFmt w:val="decimal"/>
      <w:lvlText w:val="%1-%2.%3"/>
      <w:lvlJc w:val="left"/>
      <w:pPr>
        <w:tabs>
          <w:tab w:val="left" w:pos="720"/>
        </w:tabs>
        <w:ind w:left="720" w:hanging="720"/>
      </w:pPr>
      <w:rPr>
        <w:rFonts w:hint="eastAsia"/>
        <w:b/>
      </w:rPr>
    </w:lvl>
    <w:lvl w:ilvl="3" w:tentative="0">
      <w:start w:val="1"/>
      <w:numFmt w:val="decimal"/>
      <w:lvlText w:val="%1-%2.%3.%4"/>
      <w:lvlJc w:val="left"/>
      <w:pPr>
        <w:tabs>
          <w:tab w:val="left" w:pos="1080"/>
        </w:tabs>
        <w:ind w:left="1080" w:hanging="1080"/>
      </w:pPr>
      <w:rPr>
        <w:rFonts w:hint="eastAsia"/>
        <w:b/>
      </w:rPr>
    </w:lvl>
    <w:lvl w:ilvl="4" w:tentative="0">
      <w:start w:val="1"/>
      <w:numFmt w:val="decimal"/>
      <w:lvlText w:val="%1-%2.%3.%4.%5"/>
      <w:lvlJc w:val="left"/>
      <w:pPr>
        <w:tabs>
          <w:tab w:val="left" w:pos="1080"/>
        </w:tabs>
        <w:ind w:left="1080" w:hanging="1080"/>
      </w:pPr>
      <w:rPr>
        <w:rFonts w:hint="eastAsia"/>
        <w:b/>
      </w:rPr>
    </w:lvl>
    <w:lvl w:ilvl="5" w:tentative="0">
      <w:start w:val="1"/>
      <w:numFmt w:val="decimal"/>
      <w:lvlText w:val="%1-%2.%3.%4.%5.%6"/>
      <w:lvlJc w:val="left"/>
      <w:pPr>
        <w:tabs>
          <w:tab w:val="left" w:pos="1440"/>
        </w:tabs>
        <w:ind w:left="1440" w:hanging="1440"/>
      </w:pPr>
      <w:rPr>
        <w:rFonts w:hint="eastAsia"/>
        <w:b/>
      </w:rPr>
    </w:lvl>
    <w:lvl w:ilvl="6" w:tentative="0">
      <w:start w:val="1"/>
      <w:numFmt w:val="decimal"/>
      <w:lvlText w:val="%1-%2.%3.%4.%5.%6.%7"/>
      <w:lvlJc w:val="left"/>
      <w:pPr>
        <w:tabs>
          <w:tab w:val="left" w:pos="1440"/>
        </w:tabs>
        <w:ind w:left="1440" w:hanging="1440"/>
      </w:pPr>
      <w:rPr>
        <w:rFonts w:hint="eastAsia"/>
        <w:b/>
      </w:rPr>
    </w:lvl>
    <w:lvl w:ilvl="7" w:tentative="0">
      <w:start w:val="1"/>
      <w:numFmt w:val="decimal"/>
      <w:lvlText w:val="%1-%2.%3.%4.%5.%6.%7.%8"/>
      <w:lvlJc w:val="left"/>
      <w:pPr>
        <w:tabs>
          <w:tab w:val="left" w:pos="1800"/>
        </w:tabs>
        <w:ind w:left="1800" w:hanging="1800"/>
      </w:pPr>
      <w:rPr>
        <w:rFonts w:hint="eastAsia"/>
        <w:b/>
      </w:rPr>
    </w:lvl>
    <w:lvl w:ilvl="8" w:tentative="0">
      <w:start w:val="1"/>
      <w:numFmt w:val="decimal"/>
      <w:lvlText w:val="%1-%2.%3.%4.%5.%6.%7.%8.%9"/>
      <w:lvlJc w:val="left"/>
      <w:pPr>
        <w:tabs>
          <w:tab w:val="left" w:pos="1800"/>
        </w:tabs>
        <w:ind w:left="1800" w:hanging="1800"/>
      </w:pPr>
      <w:rPr>
        <w:rFonts w:hint="eastAsia"/>
        <w:b/>
      </w:rPr>
    </w:lvl>
  </w:abstractNum>
  <w:abstractNum w:abstractNumId="48">
    <w:nsid w:val="7F907BFE"/>
    <w:multiLevelType w:val="multilevel"/>
    <w:tmpl w:val="7F907BFE"/>
    <w:lvl w:ilvl="0" w:tentative="0">
      <w:start w:val="1"/>
      <w:numFmt w:val="decimal"/>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5"/>
  </w:num>
  <w:num w:numId="2">
    <w:abstractNumId w:val="29"/>
  </w:num>
  <w:num w:numId="3">
    <w:abstractNumId w:val="4"/>
  </w:num>
  <w:num w:numId="4">
    <w:abstractNumId w:val="43"/>
  </w:num>
  <w:num w:numId="5">
    <w:abstractNumId w:val="41"/>
  </w:num>
  <w:num w:numId="6">
    <w:abstractNumId w:val="48"/>
  </w:num>
  <w:num w:numId="7">
    <w:abstractNumId w:val="37"/>
  </w:num>
  <w:num w:numId="8">
    <w:abstractNumId w:val="21"/>
  </w:num>
  <w:num w:numId="9">
    <w:abstractNumId w:val="44"/>
  </w:num>
  <w:num w:numId="10">
    <w:abstractNumId w:val="16"/>
  </w:num>
  <w:num w:numId="11">
    <w:abstractNumId w:val="40"/>
  </w:num>
  <w:num w:numId="12">
    <w:abstractNumId w:val="2"/>
  </w:num>
  <w:num w:numId="13">
    <w:abstractNumId w:val="33"/>
  </w:num>
  <w:num w:numId="14">
    <w:abstractNumId w:val="9"/>
  </w:num>
  <w:num w:numId="15">
    <w:abstractNumId w:val="13"/>
  </w:num>
  <w:num w:numId="16">
    <w:abstractNumId w:val="26"/>
  </w:num>
  <w:num w:numId="17">
    <w:abstractNumId w:val="39"/>
  </w:num>
  <w:num w:numId="18">
    <w:abstractNumId w:val="20"/>
  </w:num>
  <w:num w:numId="19">
    <w:abstractNumId w:val="8"/>
  </w:num>
  <w:num w:numId="20">
    <w:abstractNumId w:val="12"/>
  </w:num>
  <w:num w:numId="21">
    <w:abstractNumId w:val="17"/>
  </w:num>
  <w:num w:numId="22">
    <w:abstractNumId w:val="0"/>
  </w:num>
  <w:num w:numId="23">
    <w:abstractNumId w:val="14"/>
  </w:num>
  <w:num w:numId="24">
    <w:abstractNumId w:val="22"/>
  </w:num>
  <w:num w:numId="25">
    <w:abstractNumId w:val="1"/>
  </w:num>
  <w:num w:numId="26">
    <w:abstractNumId w:val="11"/>
  </w:num>
  <w:num w:numId="27">
    <w:abstractNumId w:val="5"/>
  </w:num>
  <w:num w:numId="28">
    <w:abstractNumId w:val="19"/>
  </w:num>
  <w:num w:numId="29">
    <w:abstractNumId w:val="46"/>
  </w:num>
  <w:num w:numId="30">
    <w:abstractNumId w:val="24"/>
  </w:num>
  <w:num w:numId="31">
    <w:abstractNumId w:val="3"/>
  </w:num>
  <w:num w:numId="32">
    <w:abstractNumId w:val="42"/>
  </w:num>
  <w:num w:numId="33">
    <w:abstractNumId w:val="34"/>
  </w:num>
  <w:num w:numId="34">
    <w:abstractNumId w:val="10"/>
  </w:num>
  <w:num w:numId="35">
    <w:abstractNumId w:val="36"/>
  </w:num>
  <w:num w:numId="36">
    <w:abstractNumId w:val="45"/>
  </w:num>
  <w:num w:numId="37">
    <w:abstractNumId w:val="15"/>
  </w:num>
  <w:num w:numId="38">
    <w:abstractNumId w:val="28"/>
  </w:num>
  <w:num w:numId="39">
    <w:abstractNumId w:val="32"/>
  </w:num>
  <w:num w:numId="40">
    <w:abstractNumId w:val="6"/>
  </w:num>
  <w:num w:numId="41">
    <w:abstractNumId w:val="18"/>
  </w:num>
  <w:num w:numId="42">
    <w:abstractNumId w:val="7"/>
  </w:num>
  <w:num w:numId="43">
    <w:abstractNumId w:val="23"/>
  </w:num>
  <w:num w:numId="44">
    <w:abstractNumId w:val="30"/>
  </w:num>
  <w:num w:numId="45">
    <w:abstractNumId w:val="38"/>
  </w:num>
  <w:num w:numId="46">
    <w:abstractNumId w:val="27"/>
  </w:num>
  <w:num w:numId="47">
    <w:abstractNumId w:val="31"/>
  </w:num>
  <w:num w:numId="48">
    <w:abstractNumId w:val="47"/>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trackRevisions w:val="1"/>
  <w:documentProtection w:enforcement="0"/>
  <w:defaultTabStop w:val="420"/>
  <w:drawingGridHorizontalSpacing w:val="189"/>
  <w:drawingGridVerticalSpacing w:val="38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M5MDY1NGRmNTIwZWRmYzQxOTkzMTU4MzQzNmQyN2QifQ=="/>
  </w:docVars>
  <w:rsids>
    <w:rsidRoot w:val="00172A27"/>
    <w:rsid w:val="000015D6"/>
    <w:rsid w:val="00006CB9"/>
    <w:rsid w:val="000103C1"/>
    <w:rsid w:val="00013B31"/>
    <w:rsid w:val="0001423C"/>
    <w:rsid w:val="00017FC3"/>
    <w:rsid w:val="00024481"/>
    <w:rsid w:val="0002454E"/>
    <w:rsid w:val="00033B45"/>
    <w:rsid w:val="00035E75"/>
    <w:rsid w:val="00037CAB"/>
    <w:rsid w:val="00040587"/>
    <w:rsid w:val="00046B67"/>
    <w:rsid w:val="000514EC"/>
    <w:rsid w:val="00056486"/>
    <w:rsid w:val="000647C2"/>
    <w:rsid w:val="00067554"/>
    <w:rsid w:val="00067A43"/>
    <w:rsid w:val="00070674"/>
    <w:rsid w:val="000734CB"/>
    <w:rsid w:val="00075E19"/>
    <w:rsid w:val="00083B47"/>
    <w:rsid w:val="00091E8C"/>
    <w:rsid w:val="00093B52"/>
    <w:rsid w:val="00095C3F"/>
    <w:rsid w:val="000A6E70"/>
    <w:rsid w:val="000B34A7"/>
    <w:rsid w:val="000C588F"/>
    <w:rsid w:val="000C71E5"/>
    <w:rsid w:val="000D2D36"/>
    <w:rsid w:val="000D5B70"/>
    <w:rsid w:val="000E13E4"/>
    <w:rsid w:val="000E19AB"/>
    <w:rsid w:val="000E39FB"/>
    <w:rsid w:val="000E3DFE"/>
    <w:rsid w:val="000F3464"/>
    <w:rsid w:val="00101CAF"/>
    <w:rsid w:val="00102966"/>
    <w:rsid w:val="00104589"/>
    <w:rsid w:val="00110509"/>
    <w:rsid w:val="001213F7"/>
    <w:rsid w:val="0012188C"/>
    <w:rsid w:val="001248D6"/>
    <w:rsid w:val="00142FC0"/>
    <w:rsid w:val="001452D8"/>
    <w:rsid w:val="00150573"/>
    <w:rsid w:val="001529E3"/>
    <w:rsid w:val="001555F4"/>
    <w:rsid w:val="00156BBE"/>
    <w:rsid w:val="00165366"/>
    <w:rsid w:val="00171FA0"/>
    <w:rsid w:val="00172861"/>
    <w:rsid w:val="00172A27"/>
    <w:rsid w:val="0017492B"/>
    <w:rsid w:val="00177489"/>
    <w:rsid w:val="001833C7"/>
    <w:rsid w:val="00185EDA"/>
    <w:rsid w:val="00192238"/>
    <w:rsid w:val="0019732A"/>
    <w:rsid w:val="001A05F9"/>
    <w:rsid w:val="001B5C8D"/>
    <w:rsid w:val="001C082D"/>
    <w:rsid w:val="001C6273"/>
    <w:rsid w:val="001D0ED0"/>
    <w:rsid w:val="001D3204"/>
    <w:rsid w:val="001D6989"/>
    <w:rsid w:val="001E1630"/>
    <w:rsid w:val="001E6238"/>
    <w:rsid w:val="001F2E94"/>
    <w:rsid w:val="001F6149"/>
    <w:rsid w:val="001F624C"/>
    <w:rsid w:val="00200F4A"/>
    <w:rsid w:val="00202FE9"/>
    <w:rsid w:val="00207039"/>
    <w:rsid w:val="0020706A"/>
    <w:rsid w:val="002072AB"/>
    <w:rsid w:val="002111D0"/>
    <w:rsid w:val="002151B9"/>
    <w:rsid w:val="00215865"/>
    <w:rsid w:val="00223455"/>
    <w:rsid w:val="002240C6"/>
    <w:rsid w:val="00225DE6"/>
    <w:rsid w:val="002268DA"/>
    <w:rsid w:val="002319D1"/>
    <w:rsid w:val="00232A7E"/>
    <w:rsid w:val="00240381"/>
    <w:rsid w:val="00241DCD"/>
    <w:rsid w:val="00241E41"/>
    <w:rsid w:val="002475E3"/>
    <w:rsid w:val="002539AC"/>
    <w:rsid w:val="00271E7B"/>
    <w:rsid w:val="00272665"/>
    <w:rsid w:val="00275607"/>
    <w:rsid w:val="0027768C"/>
    <w:rsid w:val="00282DBE"/>
    <w:rsid w:val="00286CEE"/>
    <w:rsid w:val="00291A5D"/>
    <w:rsid w:val="002924E5"/>
    <w:rsid w:val="002A4852"/>
    <w:rsid w:val="002A57E8"/>
    <w:rsid w:val="002B4602"/>
    <w:rsid w:val="002B7E9E"/>
    <w:rsid w:val="002C6205"/>
    <w:rsid w:val="002D0BB3"/>
    <w:rsid w:val="002D55F0"/>
    <w:rsid w:val="002D7565"/>
    <w:rsid w:val="002E0849"/>
    <w:rsid w:val="002E0E95"/>
    <w:rsid w:val="002E1CE9"/>
    <w:rsid w:val="002E4AF2"/>
    <w:rsid w:val="002F1E0C"/>
    <w:rsid w:val="002F3CC6"/>
    <w:rsid w:val="002F757F"/>
    <w:rsid w:val="00314B10"/>
    <w:rsid w:val="0032123E"/>
    <w:rsid w:val="003303CD"/>
    <w:rsid w:val="00330695"/>
    <w:rsid w:val="003327D6"/>
    <w:rsid w:val="00336879"/>
    <w:rsid w:val="00336BAC"/>
    <w:rsid w:val="00351A73"/>
    <w:rsid w:val="003601D5"/>
    <w:rsid w:val="0036424A"/>
    <w:rsid w:val="00371E0C"/>
    <w:rsid w:val="00372764"/>
    <w:rsid w:val="00372A90"/>
    <w:rsid w:val="00382308"/>
    <w:rsid w:val="0038253F"/>
    <w:rsid w:val="003860E2"/>
    <w:rsid w:val="00386D63"/>
    <w:rsid w:val="00392C82"/>
    <w:rsid w:val="00392D87"/>
    <w:rsid w:val="00397FE2"/>
    <w:rsid w:val="003A0D3E"/>
    <w:rsid w:val="003A20D9"/>
    <w:rsid w:val="003A7B33"/>
    <w:rsid w:val="003A7D25"/>
    <w:rsid w:val="003B1B70"/>
    <w:rsid w:val="003B3973"/>
    <w:rsid w:val="003C774A"/>
    <w:rsid w:val="003C7FA0"/>
    <w:rsid w:val="003D1599"/>
    <w:rsid w:val="003D2197"/>
    <w:rsid w:val="003D4A5F"/>
    <w:rsid w:val="003D4FB4"/>
    <w:rsid w:val="003D6EDF"/>
    <w:rsid w:val="003E1507"/>
    <w:rsid w:val="003E1AB1"/>
    <w:rsid w:val="003E1D0C"/>
    <w:rsid w:val="003E4C06"/>
    <w:rsid w:val="003E6FF7"/>
    <w:rsid w:val="003F3609"/>
    <w:rsid w:val="003F3900"/>
    <w:rsid w:val="003F391C"/>
    <w:rsid w:val="003F4C8C"/>
    <w:rsid w:val="00401F40"/>
    <w:rsid w:val="004031E2"/>
    <w:rsid w:val="004072B7"/>
    <w:rsid w:val="00411967"/>
    <w:rsid w:val="00412D5A"/>
    <w:rsid w:val="004132F4"/>
    <w:rsid w:val="00414497"/>
    <w:rsid w:val="004255EF"/>
    <w:rsid w:val="00425FB3"/>
    <w:rsid w:val="00430773"/>
    <w:rsid w:val="00432736"/>
    <w:rsid w:val="00436995"/>
    <w:rsid w:val="0045446C"/>
    <w:rsid w:val="004544EF"/>
    <w:rsid w:val="00457232"/>
    <w:rsid w:val="00462A14"/>
    <w:rsid w:val="004770CF"/>
    <w:rsid w:val="004807D8"/>
    <w:rsid w:val="004A4F1E"/>
    <w:rsid w:val="004A6264"/>
    <w:rsid w:val="004B369E"/>
    <w:rsid w:val="004B5B6F"/>
    <w:rsid w:val="004C020A"/>
    <w:rsid w:val="004C0891"/>
    <w:rsid w:val="004C1618"/>
    <w:rsid w:val="004D1199"/>
    <w:rsid w:val="004D1E35"/>
    <w:rsid w:val="004D2CC7"/>
    <w:rsid w:val="004D59D9"/>
    <w:rsid w:val="004E3211"/>
    <w:rsid w:val="004F76C8"/>
    <w:rsid w:val="00501270"/>
    <w:rsid w:val="005027A9"/>
    <w:rsid w:val="00505816"/>
    <w:rsid w:val="00514FBD"/>
    <w:rsid w:val="0051683F"/>
    <w:rsid w:val="005170DC"/>
    <w:rsid w:val="00525A5A"/>
    <w:rsid w:val="00533C24"/>
    <w:rsid w:val="00535946"/>
    <w:rsid w:val="00545459"/>
    <w:rsid w:val="0054756A"/>
    <w:rsid w:val="00547F14"/>
    <w:rsid w:val="00551675"/>
    <w:rsid w:val="00574B18"/>
    <w:rsid w:val="00577697"/>
    <w:rsid w:val="005852C7"/>
    <w:rsid w:val="00586A2E"/>
    <w:rsid w:val="005901FC"/>
    <w:rsid w:val="00597D46"/>
    <w:rsid w:val="005A5A68"/>
    <w:rsid w:val="005A72DF"/>
    <w:rsid w:val="005C0AF2"/>
    <w:rsid w:val="005D0D21"/>
    <w:rsid w:val="005D2094"/>
    <w:rsid w:val="005D299F"/>
    <w:rsid w:val="005D72B7"/>
    <w:rsid w:val="005D7849"/>
    <w:rsid w:val="005E3345"/>
    <w:rsid w:val="005E3593"/>
    <w:rsid w:val="005F217B"/>
    <w:rsid w:val="00600C5B"/>
    <w:rsid w:val="00601060"/>
    <w:rsid w:val="00602328"/>
    <w:rsid w:val="006036D1"/>
    <w:rsid w:val="00604B45"/>
    <w:rsid w:val="00617843"/>
    <w:rsid w:val="0062741E"/>
    <w:rsid w:val="006322B3"/>
    <w:rsid w:val="006355F2"/>
    <w:rsid w:val="00643AA3"/>
    <w:rsid w:val="00644056"/>
    <w:rsid w:val="006505CF"/>
    <w:rsid w:val="00650E70"/>
    <w:rsid w:val="006513BF"/>
    <w:rsid w:val="00652ED1"/>
    <w:rsid w:val="00661CB3"/>
    <w:rsid w:val="006671E1"/>
    <w:rsid w:val="00674813"/>
    <w:rsid w:val="0067654F"/>
    <w:rsid w:val="006802C2"/>
    <w:rsid w:val="0068252A"/>
    <w:rsid w:val="00684856"/>
    <w:rsid w:val="0068622D"/>
    <w:rsid w:val="006939C4"/>
    <w:rsid w:val="006A1BE5"/>
    <w:rsid w:val="006A2F49"/>
    <w:rsid w:val="006A5CBD"/>
    <w:rsid w:val="006A7FD5"/>
    <w:rsid w:val="006B62AB"/>
    <w:rsid w:val="006C4324"/>
    <w:rsid w:val="006C56A5"/>
    <w:rsid w:val="006D0D15"/>
    <w:rsid w:val="006D1FA2"/>
    <w:rsid w:val="006D3BB1"/>
    <w:rsid w:val="006D41E8"/>
    <w:rsid w:val="006E1A7F"/>
    <w:rsid w:val="006E6E65"/>
    <w:rsid w:val="006F06DA"/>
    <w:rsid w:val="006F1AD5"/>
    <w:rsid w:val="006F28E4"/>
    <w:rsid w:val="00701B97"/>
    <w:rsid w:val="00717CF0"/>
    <w:rsid w:val="00720D56"/>
    <w:rsid w:val="007252C9"/>
    <w:rsid w:val="00726076"/>
    <w:rsid w:val="0073037E"/>
    <w:rsid w:val="00740EF5"/>
    <w:rsid w:val="00745EF6"/>
    <w:rsid w:val="0075175C"/>
    <w:rsid w:val="007616E2"/>
    <w:rsid w:val="00762076"/>
    <w:rsid w:val="00764D39"/>
    <w:rsid w:val="00774FE7"/>
    <w:rsid w:val="007820F5"/>
    <w:rsid w:val="0078522C"/>
    <w:rsid w:val="007901C3"/>
    <w:rsid w:val="00796902"/>
    <w:rsid w:val="007A5322"/>
    <w:rsid w:val="007B0075"/>
    <w:rsid w:val="007B39F4"/>
    <w:rsid w:val="007B4120"/>
    <w:rsid w:val="007B44AA"/>
    <w:rsid w:val="007B4D83"/>
    <w:rsid w:val="007B736C"/>
    <w:rsid w:val="007D0662"/>
    <w:rsid w:val="007E181C"/>
    <w:rsid w:val="007E2D26"/>
    <w:rsid w:val="007E5888"/>
    <w:rsid w:val="007E7540"/>
    <w:rsid w:val="007F2F9E"/>
    <w:rsid w:val="007F3171"/>
    <w:rsid w:val="007F741D"/>
    <w:rsid w:val="008002E7"/>
    <w:rsid w:val="00800AE6"/>
    <w:rsid w:val="00801258"/>
    <w:rsid w:val="008017B4"/>
    <w:rsid w:val="00802300"/>
    <w:rsid w:val="00811F49"/>
    <w:rsid w:val="00813053"/>
    <w:rsid w:val="008237D2"/>
    <w:rsid w:val="008309F2"/>
    <w:rsid w:val="0084414B"/>
    <w:rsid w:val="00844506"/>
    <w:rsid w:val="008462A4"/>
    <w:rsid w:val="00846D27"/>
    <w:rsid w:val="00853C0D"/>
    <w:rsid w:val="00855226"/>
    <w:rsid w:val="0085769F"/>
    <w:rsid w:val="00865D3C"/>
    <w:rsid w:val="00866705"/>
    <w:rsid w:val="00876D1E"/>
    <w:rsid w:val="00880D15"/>
    <w:rsid w:val="008862C2"/>
    <w:rsid w:val="00886915"/>
    <w:rsid w:val="008950B5"/>
    <w:rsid w:val="00897997"/>
    <w:rsid w:val="008A0B0A"/>
    <w:rsid w:val="008A1CB5"/>
    <w:rsid w:val="008A7B50"/>
    <w:rsid w:val="008C4C98"/>
    <w:rsid w:val="008D4355"/>
    <w:rsid w:val="008E3629"/>
    <w:rsid w:val="008E4F8D"/>
    <w:rsid w:val="0090490D"/>
    <w:rsid w:val="009078F6"/>
    <w:rsid w:val="009141E4"/>
    <w:rsid w:val="00916378"/>
    <w:rsid w:val="00920EC1"/>
    <w:rsid w:val="00935686"/>
    <w:rsid w:val="009434DC"/>
    <w:rsid w:val="00970040"/>
    <w:rsid w:val="009841F4"/>
    <w:rsid w:val="0098673D"/>
    <w:rsid w:val="00995610"/>
    <w:rsid w:val="0099565A"/>
    <w:rsid w:val="009A4312"/>
    <w:rsid w:val="009A729C"/>
    <w:rsid w:val="009B14C6"/>
    <w:rsid w:val="009C3585"/>
    <w:rsid w:val="009C3757"/>
    <w:rsid w:val="009C5AF4"/>
    <w:rsid w:val="009D1264"/>
    <w:rsid w:val="009D1ADE"/>
    <w:rsid w:val="009D32C5"/>
    <w:rsid w:val="009D5E24"/>
    <w:rsid w:val="009E5C67"/>
    <w:rsid w:val="009E7A79"/>
    <w:rsid w:val="009F724D"/>
    <w:rsid w:val="00A01676"/>
    <w:rsid w:val="00A02B92"/>
    <w:rsid w:val="00A06DB1"/>
    <w:rsid w:val="00A1639C"/>
    <w:rsid w:val="00A24AE5"/>
    <w:rsid w:val="00A36DDB"/>
    <w:rsid w:val="00A41E09"/>
    <w:rsid w:val="00A508D5"/>
    <w:rsid w:val="00A50AE6"/>
    <w:rsid w:val="00A520C4"/>
    <w:rsid w:val="00A54524"/>
    <w:rsid w:val="00A62669"/>
    <w:rsid w:val="00A641A6"/>
    <w:rsid w:val="00A7022D"/>
    <w:rsid w:val="00A70D70"/>
    <w:rsid w:val="00A7245F"/>
    <w:rsid w:val="00A75344"/>
    <w:rsid w:val="00A82522"/>
    <w:rsid w:val="00A85EB0"/>
    <w:rsid w:val="00A92CC7"/>
    <w:rsid w:val="00A92F2B"/>
    <w:rsid w:val="00AA0262"/>
    <w:rsid w:val="00AA16C5"/>
    <w:rsid w:val="00AA7CC8"/>
    <w:rsid w:val="00AB262F"/>
    <w:rsid w:val="00AB460B"/>
    <w:rsid w:val="00AC0008"/>
    <w:rsid w:val="00AC05B5"/>
    <w:rsid w:val="00AC27D4"/>
    <w:rsid w:val="00AC6AC6"/>
    <w:rsid w:val="00AC71FF"/>
    <w:rsid w:val="00AC7725"/>
    <w:rsid w:val="00AD0C1A"/>
    <w:rsid w:val="00AE14B3"/>
    <w:rsid w:val="00AE2839"/>
    <w:rsid w:val="00AE52B6"/>
    <w:rsid w:val="00B04C84"/>
    <w:rsid w:val="00B0514C"/>
    <w:rsid w:val="00B06A68"/>
    <w:rsid w:val="00B109C5"/>
    <w:rsid w:val="00B11E03"/>
    <w:rsid w:val="00B14024"/>
    <w:rsid w:val="00B14085"/>
    <w:rsid w:val="00B1737B"/>
    <w:rsid w:val="00B179CC"/>
    <w:rsid w:val="00B25BED"/>
    <w:rsid w:val="00B316EB"/>
    <w:rsid w:val="00B327A2"/>
    <w:rsid w:val="00B33A79"/>
    <w:rsid w:val="00B34387"/>
    <w:rsid w:val="00B37AB4"/>
    <w:rsid w:val="00B45596"/>
    <w:rsid w:val="00B53E51"/>
    <w:rsid w:val="00B56065"/>
    <w:rsid w:val="00B61FA1"/>
    <w:rsid w:val="00B7396F"/>
    <w:rsid w:val="00B81D01"/>
    <w:rsid w:val="00B85FE7"/>
    <w:rsid w:val="00B87C18"/>
    <w:rsid w:val="00B90A94"/>
    <w:rsid w:val="00B93695"/>
    <w:rsid w:val="00BA623C"/>
    <w:rsid w:val="00BA7537"/>
    <w:rsid w:val="00BB38E4"/>
    <w:rsid w:val="00BC2EBA"/>
    <w:rsid w:val="00BC2EE2"/>
    <w:rsid w:val="00BC5492"/>
    <w:rsid w:val="00BD310F"/>
    <w:rsid w:val="00BD771C"/>
    <w:rsid w:val="00BD78D5"/>
    <w:rsid w:val="00BE2AC2"/>
    <w:rsid w:val="00BE335E"/>
    <w:rsid w:val="00BE35A8"/>
    <w:rsid w:val="00BF7C27"/>
    <w:rsid w:val="00C0109C"/>
    <w:rsid w:val="00C06C43"/>
    <w:rsid w:val="00C13C92"/>
    <w:rsid w:val="00C33603"/>
    <w:rsid w:val="00C416A1"/>
    <w:rsid w:val="00C43693"/>
    <w:rsid w:val="00C51D3C"/>
    <w:rsid w:val="00C545C0"/>
    <w:rsid w:val="00C54913"/>
    <w:rsid w:val="00C6363C"/>
    <w:rsid w:val="00C649B8"/>
    <w:rsid w:val="00C65F35"/>
    <w:rsid w:val="00C66225"/>
    <w:rsid w:val="00C71C93"/>
    <w:rsid w:val="00C80256"/>
    <w:rsid w:val="00C811D0"/>
    <w:rsid w:val="00C836D1"/>
    <w:rsid w:val="00C9489E"/>
    <w:rsid w:val="00CA0CC7"/>
    <w:rsid w:val="00CA6791"/>
    <w:rsid w:val="00CB00E8"/>
    <w:rsid w:val="00CB2893"/>
    <w:rsid w:val="00CC562D"/>
    <w:rsid w:val="00CD3660"/>
    <w:rsid w:val="00CD37F6"/>
    <w:rsid w:val="00CD6C01"/>
    <w:rsid w:val="00CE0E8D"/>
    <w:rsid w:val="00CE7407"/>
    <w:rsid w:val="00CF10F7"/>
    <w:rsid w:val="00CF31F7"/>
    <w:rsid w:val="00CF3BC8"/>
    <w:rsid w:val="00CF61F3"/>
    <w:rsid w:val="00D03432"/>
    <w:rsid w:val="00D0713C"/>
    <w:rsid w:val="00D07912"/>
    <w:rsid w:val="00D07D55"/>
    <w:rsid w:val="00D123B1"/>
    <w:rsid w:val="00D17041"/>
    <w:rsid w:val="00D20260"/>
    <w:rsid w:val="00D20871"/>
    <w:rsid w:val="00D248B6"/>
    <w:rsid w:val="00D26FE7"/>
    <w:rsid w:val="00D30512"/>
    <w:rsid w:val="00D3070A"/>
    <w:rsid w:val="00D61CB9"/>
    <w:rsid w:val="00D67D89"/>
    <w:rsid w:val="00D7377D"/>
    <w:rsid w:val="00D77DB9"/>
    <w:rsid w:val="00D806EE"/>
    <w:rsid w:val="00D8256F"/>
    <w:rsid w:val="00D83C29"/>
    <w:rsid w:val="00D9007D"/>
    <w:rsid w:val="00D974AD"/>
    <w:rsid w:val="00D97F67"/>
    <w:rsid w:val="00DA18E1"/>
    <w:rsid w:val="00DA5616"/>
    <w:rsid w:val="00DB0BF2"/>
    <w:rsid w:val="00DB16E5"/>
    <w:rsid w:val="00DC1B14"/>
    <w:rsid w:val="00DC205C"/>
    <w:rsid w:val="00DC3B84"/>
    <w:rsid w:val="00DC5992"/>
    <w:rsid w:val="00DD5872"/>
    <w:rsid w:val="00DE09F4"/>
    <w:rsid w:val="00DE34D3"/>
    <w:rsid w:val="00DE4385"/>
    <w:rsid w:val="00DF40C9"/>
    <w:rsid w:val="00DF5678"/>
    <w:rsid w:val="00E10F63"/>
    <w:rsid w:val="00E15FD4"/>
    <w:rsid w:val="00E27065"/>
    <w:rsid w:val="00E30197"/>
    <w:rsid w:val="00E34F15"/>
    <w:rsid w:val="00E43265"/>
    <w:rsid w:val="00E458DD"/>
    <w:rsid w:val="00E469C3"/>
    <w:rsid w:val="00E46E05"/>
    <w:rsid w:val="00E74011"/>
    <w:rsid w:val="00E867CE"/>
    <w:rsid w:val="00E874F2"/>
    <w:rsid w:val="00E94D28"/>
    <w:rsid w:val="00E969B1"/>
    <w:rsid w:val="00EA0D29"/>
    <w:rsid w:val="00EB124F"/>
    <w:rsid w:val="00EC12BE"/>
    <w:rsid w:val="00EC3670"/>
    <w:rsid w:val="00EC4DBC"/>
    <w:rsid w:val="00ED3C81"/>
    <w:rsid w:val="00EE6CD1"/>
    <w:rsid w:val="00F0222B"/>
    <w:rsid w:val="00F034C1"/>
    <w:rsid w:val="00F2091F"/>
    <w:rsid w:val="00F23A33"/>
    <w:rsid w:val="00F40607"/>
    <w:rsid w:val="00F4452E"/>
    <w:rsid w:val="00F445A4"/>
    <w:rsid w:val="00F46D38"/>
    <w:rsid w:val="00F50667"/>
    <w:rsid w:val="00F601DB"/>
    <w:rsid w:val="00F63F76"/>
    <w:rsid w:val="00F64487"/>
    <w:rsid w:val="00F65D74"/>
    <w:rsid w:val="00F6705B"/>
    <w:rsid w:val="00F710E3"/>
    <w:rsid w:val="00F723C9"/>
    <w:rsid w:val="00F72872"/>
    <w:rsid w:val="00F74CD7"/>
    <w:rsid w:val="00F8388A"/>
    <w:rsid w:val="00F910B7"/>
    <w:rsid w:val="00FA06D7"/>
    <w:rsid w:val="00FA3A6B"/>
    <w:rsid w:val="00FA4C44"/>
    <w:rsid w:val="00FA5407"/>
    <w:rsid w:val="00FA56D7"/>
    <w:rsid w:val="00FB0D11"/>
    <w:rsid w:val="00FB1856"/>
    <w:rsid w:val="00FB18C7"/>
    <w:rsid w:val="00FB2CCD"/>
    <w:rsid w:val="00FB4B94"/>
    <w:rsid w:val="00FC63B3"/>
    <w:rsid w:val="00FC7645"/>
    <w:rsid w:val="00FD2CBD"/>
    <w:rsid w:val="00FE1532"/>
    <w:rsid w:val="017A147E"/>
    <w:rsid w:val="019978BC"/>
    <w:rsid w:val="021C0756"/>
    <w:rsid w:val="02467A44"/>
    <w:rsid w:val="026B454C"/>
    <w:rsid w:val="02C10E79"/>
    <w:rsid w:val="043C3BFF"/>
    <w:rsid w:val="043E5247"/>
    <w:rsid w:val="04896C93"/>
    <w:rsid w:val="04935067"/>
    <w:rsid w:val="04F83B20"/>
    <w:rsid w:val="0511615E"/>
    <w:rsid w:val="05282151"/>
    <w:rsid w:val="059B00A7"/>
    <w:rsid w:val="05BD1F2B"/>
    <w:rsid w:val="05C72C4A"/>
    <w:rsid w:val="05DE573F"/>
    <w:rsid w:val="062905B5"/>
    <w:rsid w:val="062F5E27"/>
    <w:rsid w:val="063D6D63"/>
    <w:rsid w:val="066A48FB"/>
    <w:rsid w:val="070D6D82"/>
    <w:rsid w:val="07604DB6"/>
    <w:rsid w:val="076B3AA9"/>
    <w:rsid w:val="076D1A0A"/>
    <w:rsid w:val="07726BE5"/>
    <w:rsid w:val="079456A2"/>
    <w:rsid w:val="08387626"/>
    <w:rsid w:val="083A561F"/>
    <w:rsid w:val="08754606"/>
    <w:rsid w:val="09414404"/>
    <w:rsid w:val="0950109D"/>
    <w:rsid w:val="09550203"/>
    <w:rsid w:val="09954E0D"/>
    <w:rsid w:val="09B01C47"/>
    <w:rsid w:val="09CD70E9"/>
    <w:rsid w:val="09DA11CE"/>
    <w:rsid w:val="09DD1E77"/>
    <w:rsid w:val="0A422B27"/>
    <w:rsid w:val="0A92167B"/>
    <w:rsid w:val="0AD03F07"/>
    <w:rsid w:val="0AE12395"/>
    <w:rsid w:val="0AFD26FB"/>
    <w:rsid w:val="0B067E26"/>
    <w:rsid w:val="0B0C2AEC"/>
    <w:rsid w:val="0B176909"/>
    <w:rsid w:val="0B31588C"/>
    <w:rsid w:val="0B696551"/>
    <w:rsid w:val="0C565109"/>
    <w:rsid w:val="0C5D26DC"/>
    <w:rsid w:val="0CA36524"/>
    <w:rsid w:val="0CAB1976"/>
    <w:rsid w:val="0CDB347F"/>
    <w:rsid w:val="0CE42333"/>
    <w:rsid w:val="0D1B46E6"/>
    <w:rsid w:val="0DC21F49"/>
    <w:rsid w:val="0E4137B5"/>
    <w:rsid w:val="0E6876FA"/>
    <w:rsid w:val="0E6F4DEC"/>
    <w:rsid w:val="0E792C89"/>
    <w:rsid w:val="0EBB45DB"/>
    <w:rsid w:val="0EDD34DE"/>
    <w:rsid w:val="0FFE195E"/>
    <w:rsid w:val="100072ED"/>
    <w:rsid w:val="100C7F6C"/>
    <w:rsid w:val="11B85B3D"/>
    <w:rsid w:val="12301B77"/>
    <w:rsid w:val="12C56C1C"/>
    <w:rsid w:val="1303728B"/>
    <w:rsid w:val="130C699B"/>
    <w:rsid w:val="138E2FF9"/>
    <w:rsid w:val="13A46379"/>
    <w:rsid w:val="13EA2341"/>
    <w:rsid w:val="14211C3F"/>
    <w:rsid w:val="14642AB6"/>
    <w:rsid w:val="149F26D7"/>
    <w:rsid w:val="14A54FA4"/>
    <w:rsid w:val="14B81175"/>
    <w:rsid w:val="14BA5B41"/>
    <w:rsid w:val="14CA4262"/>
    <w:rsid w:val="151439D2"/>
    <w:rsid w:val="15194B44"/>
    <w:rsid w:val="1684255C"/>
    <w:rsid w:val="16B1437C"/>
    <w:rsid w:val="172935C3"/>
    <w:rsid w:val="1776627E"/>
    <w:rsid w:val="1780534F"/>
    <w:rsid w:val="18E5260A"/>
    <w:rsid w:val="19281524"/>
    <w:rsid w:val="198E1023"/>
    <w:rsid w:val="19970A38"/>
    <w:rsid w:val="19E65F36"/>
    <w:rsid w:val="1A073B05"/>
    <w:rsid w:val="1A275744"/>
    <w:rsid w:val="1A584361"/>
    <w:rsid w:val="1A5B7FC6"/>
    <w:rsid w:val="1A7515F7"/>
    <w:rsid w:val="1AC90EF3"/>
    <w:rsid w:val="1B4B17D0"/>
    <w:rsid w:val="1B542D7A"/>
    <w:rsid w:val="1B66485B"/>
    <w:rsid w:val="1BA708DF"/>
    <w:rsid w:val="1BD33DBB"/>
    <w:rsid w:val="1CA008CD"/>
    <w:rsid w:val="1CB93E97"/>
    <w:rsid w:val="1CC310A2"/>
    <w:rsid w:val="1CC655B2"/>
    <w:rsid w:val="1CCD1341"/>
    <w:rsid w:val="1CD70152"/>
    <w:rsid w:val="1D0451B6"/>
    <w:rsid w:val="1D5E41D5"/>
    <w:rsid w:val="1D65301C"/>
    <w:rsid w:val="1DDD1A3E"/>
    <w:rsid w:val="1E1151D1"/>
    <w:rsid w:val="1E51728D"/>
    <w:rsid w:val="1E9A127D"/>
    <w:rsid w:val="1EA01E32"/>
    <w:rsid w:val="1EAC4C7B"/>
    <w:rsid w:val="1EB53B30"/>
    <w:rsid w:val="1EDC6C06"/>
    <w:rsid w:val="1FB86964"/>
    <w:rsid w:val="202820DF"/>
    <w:rsid w:val="205E01F7"/>
    <w:rsid w:val="207B4500"/>
    <w:rsid w:val="2084704C"/>
    <w:rsid w:val="20B322F1"/>
    <w:rsid w:val="20D44015"/>
    <w:rsid w:val="20E97AC1"/>
    <w:rsid w:val="20EA55E7"/>
    <w:rsid w:val="20EF6A0A"/>
    <w:rsid w:val="212909AD"/>
    <w:rsid w:val="21353FAA"/>
    <w:rsid w:val="218B501C"/>
    <w:rsid w:val="21C36564"/>
    <w:rsid w:val="21E43EAF"/>
    <w:rsid w:val="226D71CB"/>
    <w:rsid w:val="227D6083"/>
    <w:rsid w:val="22DD5403"/>
    <w:rsid w:val="2322550C"/>
    <w:rsid w:val="232D0AF9"/>
    <w:rsid w:val="239A71DE"/>
    <w:rsid w:val="23C12F77"/>
    <w:rsid w:val="23E36750"/>
    <w:rsid w:val="24165E61"/>
    <w:rsid w:val="241B6C18"/>
    <w:rsid w:val="248242A7"/>
    <w:rsid w:val="24A857F5"/>
    <w:rsid w:val="24B03B5D"/>
    <w:rsid w:val="24B63B7B"/>
    <w:rsid w:val="24E64E80"/>
    <w:rsid w:val="25034CA9"/>
    <w:rsid w:val="255B13C5"/>
    <w:rsid w:val="255B2051"/>
    <w:rsid w:val="25B74631"/>
    <w:rsid w:val="25C1725E"/>
    <w:rsid w:val="25D16282"/>
    <w:rsid w:val="25D20AA8"/>
    <w:rsid w:val="25F767DC"/>
    <w:rsid w:val="262D5F32"/>
    <w:rsid w:val="2633336F"/>
    <w:rsid w:val="26600703"/>
    <w:rsid w:val="269D67D5"/>
    <w:rsid w:val="26E90F7F"/>
    <w:rsid w:val="26F67AB7"/>
    <w:rsid w:val="270F5DA7"/>
    <w:rsid w:val="27985D9D"/>
    <w:rsid w:val="284D6B87"/>
    <w:rsid w:val="285B78D5"/>
    <w:rsid w:val="285C326E"/>
    <w:rsid w:val="285F57BD"/>
    <w:rsid w:val="28FE4325"/>
    <w:rsid w:val="29214DDB"/>
    <w:rsid w:val="292A7818"/>
    <w:rsid w:val="29B42ABB"/>
    <w:rsid w:val="2A50295E"/>
    <w:rsid w:val="2A622692"/>
    <w:rsid w:val="2B3B3E34"/>
    <w:rsid w:val="2B750730"/>
    <w:rsid w:val="2BD43FF7"/>
    <w:rsid w:val="2BF9568F"/>
    <w:rsid w:val="2C0B2FE1"/>
    <w:rsid w:val="2C985D77"/>
    <w:rsid w:val="2C9F3567"/>
    <w:rsid w:val="2CCA2E9C"/>
    <w:rsid w:val="2CF210EA"/>
    <w:rsid w:val="2CFA1C36"/>
    <w:rsid w:val="2D242C07"/>
    <w:rsid w:val="2DB602C7"/>
    <w:rsid w:val="2E5E3A03"/>
    <w:rsid w:val="2E701821"/>
    <w:rsid w:val="2E7F3812"/>
    <w:rsid w:val="2E92260C"/>
    <w:rsid w:val="2ECC5D71"/>
    <w:rsid w:val="2F3E127B"/>
    <w:rsid w:val="2F6649D2"/>
    <w:rsid w:val="2F6A001E"/>
    <w:rsid w:val="2F805A94"/>
    <w:rsid w:val="2FF41FDE"/>
    <w:rsid w:val="3031481B"/>
    <w:rsid w:val="3038636F"/>
    <w:rsid w:val="307750E9"/>
    <w:rsid w:val="321D516D"/>
    <w:rsid w:val="32252923"/>
    <w:rsid w:val="326E0884"/>
    <w:rsid w:val="32931F82"/>
    <w:rsid w:val="32BF230E"/>
    <w:rsid w:val="32EB591A"/>
    <w:rsid w:val="33BB353F"/>
    <w:rsid w:val="34481D1E"/>
    <w:rsid w:val="34EC1A58"/>
    <w:rsid w:val="359C114E"/>
    <w:rsid w:val="35A52FD0"/>
    <w:rsid w:val="35D52A19"/>
    <w:rsid w:val="360D61C1"/>
    <w:rsid w:val="3619454C"/>
    <w:rsid w:val="361E1B63"/>
    <w:rsid w:val="362E2C34"/>
    <w:rsid w:val="369C21C9"/>
    <w:rsid w:val="36E77A8B"/>
    <w:rsid w:val="36EB1726"/>
    <w:rsid w:val="372948D9"/>
    <w:rsid w:val="37661A13"/>
    <w:rsid w:val="37797999"/>
    <w:rsid w:val="378105FB"/>
    <w:rsid w:val="37B1440A"/>
    <w:rsid w:val="37B3452D"/>
    <w:rsid w:val="37BE35FD"/>
    <w:rsid w:val="37FC5ED4"/>
    <w:rsid w:val="38044D88"/>
    <w:rsid w:val="38464D03"/>
    <w:rsid w:val="38593326"/>
    <w:rsid w:val="386677F1"/>
    <w:rsid w:val="386F0CFA"/>
    <w:rsid w:val="38A359B8"/>
    <w:rsid w:val="38AF5476"/>
    <w:rsid w:val="38B5571A"/>
    <w:rsid w:val="391F5EED"/>
    <w:rsid w:val="39776FF7"/>
    <w:rsid w:val="3996039E"/>
    <w:rsid w:val="39B07BC3"/>
    <w:rsid w:val="39B34CB8"/>
    <w:rsid w:val="39CB0253"/>
    <w:rsid w:val="39DA132A"/>
    <w:rsid w:val="39E65DFD"/>
    <w:rsid w:val="3A1C285D"/>
    <w:rsid w:val="3A3961D6"/>
    <w:rsid w:val="3A464DD8"/>
    <w:rsid w:val="3A767AC0"/>
    <w:rsid w:val="3A796DB9"/>
    <w:rsid w:val="3A875EC7"/>
    <w:rsid w:val="3A9B514C"/>
    <w:rsid w:val="3C2A56C7"/>
    <w:rsid w:val="3C4D4F50"/>
    <w:rsid w:val="3C51258C"/>
    <w:rsid w:val="3C816761"/>
    <w:rsid w:val="3CEC6245"/>
    <w:rsid w:val="3D03579D"/>
    <w:rsid w:val="3DAA4CE2"/>
    <w:rsid w:val="3DBD2BD8"/>
    <w:rsid w:val="3E092E4F"/>
    <w:rsid w:val="3E167877"/>
    <w:rsid w:val="3E2464AA"/>
    <w:rsid w:val="3E3A1504"/>
    <w:rsid w:val="3E8F1850"/>
    <w:rsid w:val="3E972D2F"/>
    <w:rsid w:val="3F5465F5"/>
    <w:rsid w:val="4079177B"/>
    <w:rsid w:val="40C42485"/>
    <w:rsid w:val="4106794A"/>
    <w:rsid w:val="41257A7C"/>
    <w:rsid w:val="4157061F"/>
    <w:rsid w:val="416525E9"/>
    <w:rsid w:val="41FB4F60"/>
    <w:rsid w:val="42773317"/>
    <w:rsid w:val="42FD1D25"/>
    <w:rsid w:val="430A3B9B"/>
    <w:rsid w:val="43166025"/>
    <w:rsid w:val="4359067E"/>
    <w:rsid w:val="43615785"/>
    <w:rsid w:val="43931DE2"/>
    <w:rsid w:val="439A3235"/>
    <w:rsid w:val="442962A2"/>
    <w:rsid w:val="44412957"/>
    <w:rsid w:val="4450541F"/>
    <w:rsid w:val="44892A10"/>
    <w:rsid w:val="449D2184"/>
    <w:rsid w:val="44A60417"/>
    <w:rsid w:val="44C45FCB"/>
    <w:rsid w:val="4508410A"/>
    <w:rsid w:val="450C59BD"/>
    <w:rsid w:val="451147F6"/>
    <w:rsid w:val="452E1696"/>
    <w:rsid w:val="45322F35"/>
    <w:rsid w:val="46274A64"/>
    <w:rsid w:val="467C6146"/>
    <w:rsid w:val="46F56910"/>
    <w:rsid w:val="471A2CBB"/>
    <w:rsid w:val="47261108"/>
    <w:rsid w:val="473E2065"/>
    <w:rsid w:val="47D42F85"/>
    <w:rsid w:val="47E12386"/>
    <w:rsid w:val="47EC15E1"/>
    <w:rsid w:val="48D03190"/>
    <w:rsid w:val="49251BFD"/>
    <w:rsid w:val="497B6DD1"/>
    <w:rsid w:val="497C21C8"/>
    <w:rsid w:val="49A60395"/>
    <w:rsid w:val="4A3634C7"/>
    <w:rsid w:val="4B4253C4"/>
    <w:rsid w:val="4BBA7AAF"/>
    <w:rsid w:val="4BC27E2D"/>
    <w:rsid w:val="4C891FD4"/>
    <w:rsid w:val="4CC823D1"/>
    <w:rsid w:val="4CD174D7"/>
    <w:rsid w:val="4CE15E65"/>
    <w:rsid w:val="4CF46856"/>
    <w:rsid w:val="4D381CC8"/>
    <w:rsid w:val="4DDE62E6"/>
    <w:rsid w:val="4E37780E"/>
    <w:rsid w:val="4E4B6322"/>
    <w:rsid w:val="4E915170"/>
    <w:rsid w:val="4F083D20"/>
    <w:rsid w:val="4FD712A8"/>
    <w:rsid w:val="4FD97A0C"/>
    <w:rsid w:val="501F49FD"/>
    <w:rsid w:val="5038161B"/>
    <w:rsid w:val="507F00D9"/>
    <w:rsid w:val="509764EB"/>
    <w:rsid w:val="509E1DC6"/>
    <w:rsid w:val="50F25C6E"/>
    <w:rsid w:val="512D285A"/>
    <w:rsid w:val="51870AAC"/>
    <w:rsid w:val="5193437C"/>
    <w:rsid w:val="524B523D"/>
    <w:rsid w:val="5257047F"/>
    <w:rsid w:val="52575EF4"/>
    <w:rsid w:val="536966BB"/>
    <w:rsid w:val="53AC65A8"/>
    <w:rsid w:val="53B84F4D"/>
    <w:rsid w:val="53D2554A"/>
    <w:rsid w:val="53F45FEE"/>
    <w:rsid w:val="53F817ED"/>
    <w:rsid w:val="544E4A56"/>
    <w:rsid w:val="5475515B"/>
    <w:rsid w:val="54850E77"/>
    <w:rsid w:val="548F5333"/>
    <w:rsid w:val="549C03CB"/>
    <w:rsid w:val="54B80CF4"/>
    <w:rsid w:val="54F402DC"/>
    <w:rsid w:val="55652EB2"/>
    <w:rsid w:val="559317CE"/>
    <w:rsid w:val="561E5FA4"/>
    <w:rsid w:val="562C3BF8"/>
    <w:rsid w:val="56496330"/>
    <w:rsid w:val="568B0A38"/>
    <w:rsid w:val="56D85E05"/>
    <w:rsid w:val="56E435AB"/>
    <w:rsid w:val="57081EA3"/>
    <w:rsid w:val="57415806"/>
    <w:rsid w:val="57424B55"/>
    <w:rsid w:val="576078F1"/>
    <w:rsid w:val="57AE7E22"/>
    <w:rsid w:val="57B85EC5"/>
    <w:rsid w:val="5833642D"/>
    <w:rsid w:val="586C6531"/>
    <w:rsid w:val="58B31C29"/>
    <w:rsid w:val="58BF0B2C"/>
    <w:rsid w:val="59C363FA"/>
    <w:rsid w:val="5A4C54B5"/>
    <w:rsid w:val="5A597DBE"/>
    <w:rsid w:val="5AB83A84"/>
    <w:rsid w:val="5B0F1482"/>
    <w:rsid w:val="5B743E4F"/>
    <w:rsid w:val="5BB51980"/>
    <w:rsid w:val="5C2E04A2"/>
    <w:rsid w:val="5C8E36A0"/>
    <w:rsid w:val="5CF214D0"/>
    <w:rsid w:val="5D9B1B67"/>
    <w:rsid w:val="5DBD36A1"/>
    <w:rsid w:val="5DCB4C37"/>
    <w:rsid w:val="5DD10889"/>
    <w:rsid w:val="5DFC058B"/>
    <w:rsid w:val="5E001D42"/>
    <w:rsid w:val="5E0761A2"/>
    <w:rsid w:val="5E1C727D"/>
    <w:rsid w:val="5E5071A1"/>
    <w:rsid w:val="5EA20CD3"/>
    <w:rsid w:val="5F1C1BC8"/>
    <w:rsid w:val="5F2E2EB9"/>
    <w:rsid w:val="5F9B9732"/>
    <w:rsid w:val="5FB90B3A"/>
    <w:rsid w:val="601B41A2"/>
    <w:rsid w:val="602120CC"/>
    <w:rsid w:val="60A578E3"/>
    <w:rsid w:val="6146003C"/>
    <w:rsid w:val="61500FBF"/>
    <w:rsid w:val="61632D51"/>
    <w:rsid w:val="61785773"/>
    <w:rsid w:val="61907509"/>
    <w:rsid w:val="619C7C5C"/>
    <w:rsid w:val="621D50F5"/>
    <w:rsid w:val="629508B0"/>
    <w:rsid w:val="62DB5BD5"/>
    <w:rsid w:val="630A01FF"/>
    <w:rsid w:val="63195435"/>
    <w:rsid w:val="637710DE"/>
    <w:rsid w:val="638D0ED2"/>
    <w:rsid w:val="63B15515"/>
    <w:rsid w:val="64952D13"/>
    <w:rsid w:val="64F47DAF"/>
    <w:rsid w:val="6526485A"/>
    <w:rsid w:val="65476131"/>
    <w:rsid w:val="658C7113"/>
    <w:rsid w:val="65AB3EA7"/>
    <w:rsid w:val="660D737A"/>
    <w:rsid w:val="66427692"/>
    <w:rsid w:val="66D62E3F"/>
    <w:rsid w:val="67004F56"/>
    <w:rsid w:val="681310F8"/>
    <w:rsid w:val="685A3B04"/>
    <w:rsid w:val="68AA7747"/>
    <w:rsid w:val="690A5EEC"/>
    <w:rsid w:val="698A30F3"/>
    <w:rsid w:val="69E2467A"/>
    <w:rsid w:val="69EE542E"/>
    <w:rsid w:val="6A33233D"/>
    <w:rsid w:val="6A95793E"/>
    <w:rsid w:val="6B1747F7"/>
    <w:rsid w:val="6B2D71F7"/>
    <w:rsid w:val="6B450D5F"/>
    <w:rsid w:val="6B574BF4"/>
    <w:rsid w:val="6B96396E"/>
    <w:rsid w:val="6BB46DFC"/>
    <w:rsid w:val="6C2D6E9C"/>
    <w:rsid w:val="6C3B09A7"/>
    <w:rsid w:val="6CFE7A1D"/>
    <w:rsid w:val="6D1234C8"/>
    <w:rsid w:val="6D464F20"/>
    <w:rsid w:val="6D4F505E"/>
    <w:rsid w:val="6DFA453A"/>
    <w:rsid w:val="6E0F5B67"/>
    <w:rsid w:val="6E2B6D4F"/>
    <w:rsid w:val="6E773350"/>
    <w:rsid w:val="6E792DCE"/>
    <w:rsid w:val="6EEA73EF"/>
    <w:rsid w:val="6EF14629"/>
    <w:rsid w:val="6FCD36D6"/>
    <w:rsid w:val="70006E11"/>
    <w:rsid w:val="70772922"/>
    <w:rsid w:val="707A560C"/>
    <w:rsid w:val="7090092E"/>
    <w:rsid w:val="70CD04A5"/>
    <w:rsid w:val="70E24F2A"/>
    <w:rsid w:val="71E30939"/>
    <w:rsid w:val="71FD4A63"/>
    <w:rsid w:val="721442CD"/>
    <w:rsid w:val="725849A0"/>
    <w:rsid w:val="726202B8"/>
    <w:rsid w:val="726339F3"/>
    <w:rsid w:val="72874010"/>
    <w:rsid w:val="72AD7167"/>
    <w:rsid w:val="732B7F9A"/>
    <w:rsid w:val="73306456"/>
    <w:rsid w:val="73AC5CFC"/>
    <w:rsid w:val="73B513A9"/>
    <w:rsid w:val="74075CA5"/>
    <w:rsid w:val="745375C4"/>
    <w:rsid w:val="74580FC9"/>
    <w:rsid w:val="74B66E2F"/>
    <w:rsid w:val="758229AF"/>
    <w:rsid w:val="75B82733"/>
    <w:rsid w:val="75FF3725"/>
    <w:rsid w:val="760C7D56"/>
    <w:rsid w:val="76544B51"/>
    <w:rsid w:val="76796E28"/>
    <w:rsid w:val="780879A1"/>
    <w:rsid w:val="78371B83"/>
    <w:rsid w:val="78520C1D"/>
    <w:rsid w:val="786712F6"/>
    <w:rsid w:val="78F70645"/>
    <w:rsid w:val="79B72E08"/>
    <w:rsid w:val="7A0032F7"/>
    <w:rsid w:val="7A2E23AD"/>
    <w:rsid w:val="7AF6543B"/>
    <w:rsid w:val="7AF858EE"/>
    <w:rsid w:val="7B1909A6"/>
    <w:rsid w:val="7C355060"/>
    <w:rsid w:val="7C776EA4"/>
    <w:rsid w:val="7C816C72"/>
    <w:rsid w:val="7CB50319"/>
    <w:rsid w:val="7CC3033B"/>
    <w:rsid w:val="7CCC73B6"/>
    <w:rsid w:val="7CFE1C5D"/>
    <w:rsid w:val="7D1D5C9D"/>
    <w:rsid w:val="7D9723F0"/>
    <w:rsid w:val="7DA83736"/>
    <w:rsid w:val="7DFA5FDE"/>
    <w:rsid w:val="7E096221"/>
    <w:rsid w:val="7E6267B6"/>
    <w:rsid w:val="7E674CD4"/>
    <w:rsid w:val="7EA85A3A"/>
    <w:rsid w:val="7EAD12A3"/>
    <w:rsid w:val="7EBC7738"/>
    <w:rsid w:val="7EE822DB"/>
    <w:rsid w:val="7EFE4451"/>
    <w:rsid w:val="7F1B445E"/>
    <w:rsid w:val="7F47133B"/>
    <w:rsid w:val="7F4C4618"/>
    <w:rsid w:val="7F4E4FEF"/>
    <w:rsid w:val="7F7F28B3"/>
    <w:rsid w:val="7F9B54B4"/>
    <w:rsid w:val="7FB50170"/>
    <w:rsid w:val="FE352E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26"/>
    <w:autoRedefine/>
    <w:qFormat/>
    <w:uiPriority w:val="0"/>
    <w:pPr>
      <w:keepNext/>
      <w:keepLines/>
      <w:numPr>
        <w:ilvl w:val="0"/>
        <w:numId w:val="1"/>
      </w:numPr>
      <w:adjustRightInd w:val="0"/>
      <w:spacing w:before="340" w:after="330" w:line="578" w:lineRule="atLeast"/>
      <w:textAlignment w:val="baseline"/>
      <w:outlineLvl w:val="0"/>
    </w:pPr>
    <w:rPr>
      <w:rFonts w:ascii="Calibri" w:hAnsi="Calibri"/>
      <w:b/>
      <w:kern w:val="44"/>
      <w:sz w:val="44"/>
    </w:rPr>
  </w:style>
  <w:style w:type="paragraph" w:styleId="3">
    <w:name w:val="heading 2"/>
    <w:basedOn w:val="1"/>
    <w:next w:val="1"/>
    <w:link w:val="194"/>
    <w:autoRedefine/>
    <w:qFormat/>
    <w:uiPriority w:val="0"/>
    <w:pPr>
      <w:keepNext/>
      <w:keepLines/>
      <w:tabs>
        <w:tab w:val="left" w:pos="660"/>
      </w:tabs>
      <w:adjustRightInd w:val="0"/>
      <w:spacing w:before="260" w:after="260" w:line="360" w:lineRule="auto"/>
      <w:ind w:left="660" w:hanging="660"/>
      <w:textAlignment w:val="baseline"/>
      <w:outlineLvl w:val="1"/>
    </w:pPr>
    <w:rPr>
      <w:rFonts w:ascii="Arial" w:hAnsi="Arial"/>
      <w:b/>
      <w:kern w:val="0"/>
      <w:sz w:val="30"/>
      <w:szCs w:val="20"/>
    </w:rPr>
  </w:style>
  <w:style w:type="paragraph" w:styleId="4">
    <w:name w:val="heading 3"/>
    <w:basedOn w:val="1"/>
    <w:next w:val="1"/>
    <w:link w:val="183"/>
    <w:autoRedefine/>
    <w:qFormat/>
    <w:uiPriority w:val="0"/>
    <w:pPr>
      <w:keepNext/>
      <w:keepLines/>
      <w:tabs>
        <w:tab w:val="left" w:pos="660"/>
      </w:tabs>
      <w:adjustRightInd w:val="0"/>
      <w:spacing w:before="260" w:after="260" w:line="360" w:lineRule="auto"/>
      <w:ind w:left="660" w:hanging="660"/>
      <w:jc w:val="center"/>
      <w:textAlignment w:val="baseline"/>
      <w:outlineLvl w:val="2"/>
    </w:pPr>
    <w:rPr>
      <w:rFonts w:ascii="宋体" w:hAnsi="宋体"/>
      <w:b/>
      <w:kern w:val="0"/>
      <w:sz w:val="24"/>
      <w:szCs w:val="20"/>
    </w:rPr>
  </w:style>
  <w:style w:type="paragraph" w:styleId="5">
    <w:name w:val="heading 4"/>
    <w:basedOn w:val="1"/>
    <w:next w:val="1"/>
    <w:link w:val="214"/>
    <w:autoRedefine/>
    <w:qFormat/>
    <w:uiPriority w:val="0"/>
    <w:pPr>
      <w:keepNext/>
      <w:keepLines/>
      <w:tabs>
        <w:tab w:val="left" w:pos="660"/>
      </w:tabs>
      <w:adjustRightInd w:val="0"/>
      <w:spacing w:before="280" w:after="290" w:line="376" w:lineRule="atLeast"/>
      <w:ind w:left="660" w:hanging="660"/>
      <w:textAlignment w:val="baseline"/>
      <w:outlineLvl w:val="3"/>
    </w:pPr>
    <w:rPr>
      <w:rFonts w:ascii="Arial" w:hAnsi="Arial" w:eastAsia="黑体"/>
      <w:b/>
      <w:kern w:val="0"/>
      <w:sz w:val="28"/>
      <w:szCs w:val="20"/>
    </w:rPr>
  </w:style>
  <w:style w:type="paragraph" w:styleId="6">
    <w:name w:val="heading 5"/>
    <w:basedOn w:val="1"/>
    <w:next w:val="1"/>
    <w:link w:val="215"/>
    <w:autoRedefine/>
    <w:qFormat/>
    <w:uiPriority w:val="0"/>
    <w:pPr>
      <w:keepNext/>
      <w:keepLines/>
      <w:tabs>
        <w:tab w:val="left" w:pos="660"/>
      </w:tabs>
      <w:adjustRightInd w:val="0"/>
      <w:spacing w:before="280" w:after="290" w:line="376" w:lineRule="atLeast"/>
      <w:ind w:left="660" w:hanging="660"/>
      <w:textAlignment w:val="baseline"/>
      <w:outlineLvl w:val="4"/>
    </w:pPr>
    <w:rPr>
      <w:b/>
      <w:kern w:val="0"/>
      <w:sz w:val="28"/>
      <w:szCs w:val="20"/>
    </w:rPr>
  </w:style>
  <w:style w:type="paragraph" w:styleId="7">
    <w:name w:val="heading 6"/>
    <w:basedOn w:val="1"/>
    <w:next w:val="1"/>
    <w:link w:val="189"/>
    <w:autoRedefine/>
    <w:qFormat/>
    <w:uiPriority w:val="0"/>
    <w:pPr>
      <w:keepNext/>
      <w:keepLines/>
      <w:tabs>
        <w:tab w:val="left" w:pos="660"/>
      </w:tabs>
      <w:adjustRightInd w:val="0"/>
      <w:spacing w:before="240" w:after="64" w:line="320" w:lineRule="atLeast"/>
      <w:ind w:left="660" w:hanging="660"/>
      <w:textAlignment w:val="baseline"/>
      <w:outlineLvl w:val="5"/>
    </w:pPr>
    <w:rPr>
      <w:rFonts w:ascii="Arial" w:hAnsi="Arial" w:eastAsia="黑体"/>
      <w:b/>
      <w:kern w:val="0"/>
      <w:sz w:val="24"/>
      <w:szCs w:val="20"/>
    </w:rPr>
  </w:style>
  <w:style w:type="paragraph" w:styleId="8">
    <w:name w:val="heading 7"/>
    <w:basedOn w:val="1"/>
    <w:next w:val="1"/>
    <w:link w:val="187"/>
    <w:autoRedefine/>
    <w:qFormat/>
    <w:uiPriority w:val="0"/>
    <w:pPr>
      <w:keepNext/>
      <w:keepLines/>
      <w:tabs>
        <w:tab w:val="left" w:pos="660"/>
      </w:tabs>
      <w:adjustRightInd w:val="0"/>
      <w:spacing w:before="240" w:after="64" w:line="320" w:lineRule="atLeast"/>
      <w:ind w:left="660" w:hanging="660"/>
      <w:textAlignment w:val="baseline"/>
      <w:outlineLvl w:val="6"/>
    </w:pPr>
    <w:rPr>
      <w:b/>
      <w:kern w:val="0"/>
      <w:sz w:val="24"/>
      <w:szCs w:val="20"/>
    </w:rPr>
  </w:style>
  <w:style w:type="paragraph" w:styleId="9">
    <w:name w:val="heading 8"/>
    <w:basedOn w:val="1"/>
    <w:next w:val="1"/>
    <w:link w:val="201"/>
    <w:autoRedefine/>
    <w:qFormat/>
    <w:uiPriority w:val="0"/>
    <w:pPr>
      <w:keepNext/>
      <w:keepLines/>
      <w:tabs>
        <w:tab w:val="left" w:pos="660"/>
      </w:tabs>
      <w:adjustRightInd w:val="0"/>
      <w:spacing w:before="240" w:after="64" w:line="320" w:lineRule="atLeast"/>
      <w:ind w:left="660" w:hanging="660"/>
      <w:textAlignment w:val="baseline"/>
      <w:outlineLvl w:val="7"/>
    </w:pPr>
    <w:rPr>
      <w:rFonts w:ascii="Arial" w:hAnsi="Arial" w:eastAsia="黑体"/>
      <w:kern w:val="0"/>
      <w:sz w:val="24"/>
      <w:szCs w:val="20"/>
    </w:rPr>
  </w:style>
  <w:style w:type="paragraph" w:styleId="10">
    <w:name w:val="heading 9"/>
    <w:basedOn w:val="1"/>
    <w:next w:val="1"/>
    <w:link w:val="196"/>
    <w:autoRedefine/>
    <w:qFormat/>
    <w:uiPriority w:val="0"/>
    <w:pPr>
      <w:keepNext/>
      <w:keepLines/>
      <w:tabs>
        <w:tab w:val="left" w:pos="660"/>
      </w:tabs>
      <w:adjustRightInd w:val="0"/>
      <w:spacing w:before="240" w:after="64" w:line="320" w:lineRule="atLeast"/>
      <w:ind w:left="660" w:hanging="660"/>
      <w:textAlignment w:val="baseline"/>
      <w:outlineLvl w:val="8"/>
    </w:pPr>
    <w:rPr>
      <w:rFonts w:ascii="Arial" w:hAnsi="Arial" w:eastAsia="黑体"/>
      <w:kern w:val="0"/>
      <w:szCs w:val="20"/>
    </w:rPr>
  </w:style>
  <w:style w:type="character" w:default="1" w:styleId="46">
    <w:name w:val="Default Paragraph Font"/>
    <w:semiHidden/>
    <w:unhideWhenUsed/>
    <w:qFormat/>
    <w:uiPriority w:val="1"/>
  </w:style>
  <w:style w:type="table" w:default="1" w:styleId="44">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qFormat/>
    <w:uiPriority w:val="0"/>
    <w:pPr>
      <w:widowControl/>
      <w:ind w:left="1200"/>
      <w:jc w:val="left"/>
    </w:pPr>
    <w:rPr>
      <w:kern w:val="0"/>
      <w:sz w:val="18"/>
      <w:szCs w:val="18"/>
    </w:rPr>
  </w:style>
  <w:style w:type="paragraph" w:styleId="12">
    <w:name w:val="Normal Indent"/>
    <w:basedOn w:val="1"/>
    <w:autoRedefine/>
    <w:qFormat/>
    <w:uiPriority w:val="0"/>
    <w:pPr>
      <w:ind w:firstLine="420"/>
    </w:pPr>
    <w:rPr>
      <w:szCs w:val="20"/>
    </w:rPr>
  </w:style>
  <w:style w:type="paragraph" w:styleId="13">
    <w:name w:val="caption"/>
    <w:basedOn w:val="1"/>
    <w:next w:val="1"/>
    <w:autoRedefine/>
    <w:qFormat/>
    <w:uiPriority w:val="0"/>
    <w:pPr>
      <w:widowControl/>
      <w:spacing w:before="152" w:after="160"/>
      <w:jc w:val="left"/>
    </w:pPr>
    <w:rPr>
      <w:rFonts w:ascii="Arial" w:hAnsi="Arial" w:eastAsia="黑体" w:cs="Arial"/>
      <w:kern w:val="0"/>
      <w:sz w:val="20"/>
      <w:szCs w:val="20"/>
    </w:rPr>
  </w:style>
  <w:style w:type="paragraph" w:styleId="14">
    <w:name w:val="Document Map"/>
    <w:basedOn w:val="1"/>
    <w:link w:val="208"/>
    <w:autoRedefine/>
    <w:qFormat/>
    <w:uiPriority w:val="0"/>
    <w:pPr>
      <w:widowControl/>
      <w:shd w:val="clear" w:color="auto" w:fill="000080"/>
      <w:jc w:val="left"/>
    </w:pPr>
    <w:rPr>
      <w:rFonts w:ascii="Calibri" w:hAnsi="Calibri"/>
      <w:kern w:val="0"/>
      <w:sz w:val="20"/>
      <w:szCs w:val="20"/>
    </w:rPr>
  </w:style>
  <w:style w:type="paragraph" w:styleId="15">
    <w:name w:val="annotation text"/>
    <w:basedOn w:val="1"/>
    <w:link w:val="223"/>
    <w:autoRedefine/>
    <w:qFormat/>
    <w:uiPriority w:val="0"/>
    <w:pPr>
      <w:jc w:val="left"/>
    </w:pPr>
    <w:rPr>
      <w:rFonts w:ascii="Calibri" w:hAnsi="Calibri"/>
    </w:rPr>
  </w:style>
  <w:style w:type="paragraph" w:styleId="16">
    <w:name w:val="Salutation"/>
    <w:basedOn w:val="1"/>
    <w:next w:val="1"/>
    <w:link w:val="193"/>
    <w:autoRedefine/>
    <w:qFormat/>
    <w:uiPriority w:val="0"/>
    <w:rPr>
      <w:rFonts w:ascii="Calibri" w:hAnsi="Calibri"/>
      <w:sz w:val="28"/>
    </w:rPr>
  </w:style>
  <w:style w:type="paragraph" w:styleId="17">
    <w:name w:val="Body Text 3"/>
    <w:basedOn w:val="1"/>
    <w:link w:val="191"/>
    <w:autoRedefine/>
    <w:qFormat/>
    <w:uiPriority w:val="0"/>
    <w:pPr>
      <w:spacing w:after="120"/>
    </w:pPr>
    <w:rPr>
      <w:rFonts w:ascii="Calibri" w:hAnsi="Calibri"/>
      <w:sz w:val="16"/>
      <w:szCs w:val="16"/>
    </w:rPr>
  </w:style>
  <w:style w:type="paragraph" w:styleId="18">
    <w:name w:val="Closing"/>
    <w:basedOn w:val="1"/>
    <w:link w:val="198"/>
    <w:autoRedefine/>
    <w:qFormat/>
    <w:uiPriority w:val="0"/>
    <w:pPr>
      <w:spacing w:line="360" w:lineRule="auto"/>
      <w:ind w:left="100" w:leftChars="2100" w:firstLine="425"/>
    </w:pPr>
    <w:rPr>
      <w:rFonts w:ascii="Calibri" w:hAnsi="Calibri"/>
      <w:sz w:val="24"/>
      <w:szCs w:val="20"/>
    </w:rPr>
  </w:style>
  <w:style w:type="paragraph" w:styleId="19">
    <w:name w:val="Body Text"/>
    <w:basedOn w:val="1"/>
    <w:link w:val="203"/>
    <w:autoRedefine/>
    <w:qFormat/>
    <w:uiPriority w:val="0"/>
    <w:pPr>
      <w:widowControl/>
      <w:jc w:val="left"/>
    </w:pPr>
    <w:rPr>
      <w:rFonts w:ascii="Calibri" w:hAnsi="Calibri"/>
      <w:b/>
      <w:kern w:val="0"/>
      <w:sz w:val="28"/>
      <w:szCs w:val="20"/>
    </w:rPr>
  </w:style>
  <w:style w:type="paragraph" w:styleId="20">
    <w:name w:val="Body Text Indent"/>
    <w:basedOn w:val="1"/>
    <w:link w:val="221"/>
    <w:autoRedefine/>
    <w:qFormat/>
    <w:uiPriority w:val="0"/>
    <w:pPr>
      <w:ind w:right="11"/>
      <w:jc w:val="center"/>
    </w:pPr>
    <w:rPr>
      <w:rFonts w:ascii="宋体" w:hAnsi="Calibri"/>
      <w:b/>
      <w:sz w:val="48"/>
      <w:szCs w:val="20"/>
    </w:rPr>
  </w:style>
  <w:style w:type="paragraph" w:styleId="21">
    <w:name w:val="Block Text"/>
    <w:basedOn w:val="1"/>
    <w:autoRedefine/>
    <w:qFormat/>
    <w:uiPriority w:val="0"/>
    <w:pPr>
      <w:adjustRightInd w:val="0"/>
      <w:ind w:left="420" w:right="33"/>
      <w:jc w:val="left"/>
      <w:textAlignment w:val="baseline"/>
    </w:pPr>
    <w:rPr>
      <w:kern w:val="0"/>
      <w:sz w:val="24"/>
      <w:szCs w:val="20"/>
    </w:rPr>
  </w:style>
  <w:style w:type="paragraph" w:styleId="22">
    <w:name w:val="toc 5"/>
    <w:basedOn w:val="1"/>
    <w:next w:val="1"/>
    <w:autoRedefine/>
    <w:qFormat/>
    <w:uiPriority w:val="0"/>
    <w:pPr>
      <w:widowControl/>
      <w:ind w:left="800"/>
      <w:jc w:val="left"/>
    </w:pPr>
    <w:rPr>
      <w:kern w:val="0"/>
      <w:sz w:val="18"/>
      <w:szCs w:val="18"/>
    </w:rPr>
  </w:style>
  <w:style w:type="paragraph" w:styleId="23">
    <w:name w:val="toc 3"/>
    <w:basedOn w:val="1"/>
    <w:next w:val="1"/>
    <w:autoRedefine/>
    <w:qFormat/>
    <w:uiPriority w:val="0"/>
    <w:pPr>
      <w:widowControl/>
      <w:ind w:left="400"/>
      <w:jc w:val="left"/>
    </w:pPr>
    <w:rPr>
      <w:i/>
      <w:iCs/>
      <w:kern w:val="0"/>
      <w:sz w:val="20"/>
      <w:szCs w:val="20"/>
    </w:rPr>
  </w:style>
  <w:style w:type="paragraph" w:styleId="24">
    <w:name w:val="Plain Text"/>
    <w:basedOn w:val="1"/>
    <w:link w:val="197"/>
    <w:autoRedefine/>
    <w:qFormat/>
    <w:uiPriority w:val="0"/>
    <w:rPr>
      <w:rFonts w:ascii="宋体" w:hAnsi="Courier New"/>
      <w:szCs w:val="20"/>
    </w:rPr>
  </w:style>
  <w:style w:type="paragraph" w:styleId="25">
    <w:name w:val="List Bullet 5"/>
    <w:basedOn w:val="1"/>
    <w:autoRedefine/>
    <w:qFormat/>
    <w:uiPriority w:val="0"/>
    <w:pPr>
      <w:tabs>
        <w:tab w:val="left" w:pos="0"/>
        <w:tab w:val="left" w:pos="2040"/>
      </w:tabs>
      <w:ind w:left="737" w:hanging="737"/>
    </w:pPr>
    <w:rPr>
      <w:szCs w:val="20"/>
    </w:rPr>
  </w:style>
  <w:style w:type="paragraph" w:styleId="26">
    <w:name w:val="toc 8"/>
    <w:basedOn w:val="1"/>
    <w:next w:val="1"/>
    <w:autoRedefine/>
    <w:qFormat/>
    <w:uiPriority w:val="0"/>
    <w:pPr>
      <w:widowControl/>
      <w:ind w:left="1400"/>
      <w:jc w:val="left"/>
    </w:pPr>
    <w:rPr>
      <w:kern w:val="0"/>
      <w:sz w:val="18"/>
      <w:szCs w:val="18"/>
    </w:rPr>
  </w:style>
  <w:style w:type="paragraph" w:styleId="27">
    <w:name w:val="Date"/>
    <w:basedOn w:val="1"/>
    <w:next w:val="1"/>
    <w:link w:val="195"/>
    <w:autoRedefine/>
    <w:qFormat/>
    <w:uiPriority w:val="0"/>
    <w:pPr>
      <w:widowControl/>
    </w:pPr>
    <w:rPr>
      <w:rFonts w:ascii="Calibri" w:hAnsi="Calibri"/>
      <w:b/>
      <w:kern w:val="0"/>
      <w:sz w:val="28"/>
      <w:szCs w:val="20"/>
    </w:rPr>
  </w:style>
  <w:style w:type="paragraph" w:styleId="28">
    <w:name w:val="Body Text Indent 2"/>
    <w:basedOn w:val="1"/>
    <w:link w:val="188"/>
    <w:autoRedefine/>
    <w:qFormat/>
    <w:uiPriority w:val="0"/>
    <w:pPr>
      <w:overflowPunct w:val="0"/>
      <w:ind w:firstLine="567" w:firstLineChars="260"/>
    </w:pPr>
    <w:rPr>
      <w:rFonts w:ascii="宋体" w:hAnsi="宋体"/>
      <w:spacing w:val="4"/>
    </w:rPr>
  </w:style>
  <w:style w:type="paragraph" w:styleId="29">
    <w:name w:val="endnote text"/>
    <w:basedOn w:val="1"/>
    <w:link w:val="200"/>
    <w:autoRedefine/>
    <w:qFormat/>
    <w:uiPriority w:val="0"/>
    <w:pPr>
      <w:widowControl/>
      <w:snapToGrid w:val="0"/>
      <w:jc w:val="left"/>
    </w:pPr>
  </w:style>
  <w:style w:type="paragraph" w:styleId="30">
    <w:name w:val="Balloon Text"/>
    <w:basedOn w:val="1"/>
    <w:link w:val="182"/>
    <w:autoRedefine/>
    <w:qFormat/>
    <w:uiPriority w:val="0"/>
    <w:pPr>
      <w:widowControl/>
      <w:jc w:val="left"/>
    </w:pPr>
    <w:rPr>
      <w:rFonts w:ascii="Calibri" w:hAnsi="Calibri"/>
      <w:kern w:val="0"/>
      <w:sz w:val="18"/>
      <w:szCs w:val="18"/>
    </w:rPr>
  </w:style>
  <w:style w:type="paragraph" w:styleId="31">
    <w:name w:val="footer"/>
    <w:basedOn w:val="1"/>
    <w:link w:val="211"/>
    <w:autoRedefine/>
    <w:qFormat/>
    <w:uiPriority w:val="0"/>
    <w:pPr>
      <w:tabs>
        <w:tab w:val="center" w:pos="4153"/>
        <w:tab w:val="right" w:pos="8306"/>
      </w:tabs>
      <w:snapToGrid w:val="0"/>
      <w:jc w:val="left"/>
    </w:pPr>
    <w:rPr>
      <w:rFonts w:ascii="Calibri" w:hAnsi="Calibri"/>
      <w:sz w:val="18"/>
      <w:szCs w:val="18"/>
    </w:rPr>
  </w:style>
  <w:style w:type="paragraph" w:styleId="32">
    <w:name w:val="header"/>
    <w:basedOn w:val="1"/>
    <w:link w:val="207"/>
    <w:autoRedefine/>
    <w:qFormat/>
    <w:uiPriority w:val="0"/>
    <w:pPr>
      <w:pBdr>
        <w:bottom w:val="single" w:color="auto" w:sz="6" w:space="1"/>
      </w:pBdr>
      <w:tabs>
        <w:tab w:val="center" w:pos="4153"/>
        <w:tab w:val="right" w:pos="8306"/>
      </w:tabs>
      <w:snapToGrid w:val="0"/>
      <w:jc w:val="center"/>
    </w:pPr>
    <w:rPr>
      <w:rFonts w:ascii="Calibri" w:hAnsi="Calibri"/>
      <w:sz w:val="18"/>
      <w:szCs w:val="18"/>
    </w:rPr>
  </w:style>
  <w:style w:type="paragraph" w:styleId="33">
    <w:name w:val="toc 1"/>
    <w:basedOn w:val="1"/>
    <w:next w:val="1"/>
    <w:autoRedefine/>
    <w:qFormat/>
    <w:uiPriority w:val="0"/>
    <w:pPr>
      <w:widowControl/>
      <w:tabs>
        <w:tab w:val="right" w:leader="dot" w:pos="9345"/>
      </w:tabs>
      <w:spacing w:before="120" w:after="120" w:line="460" w:lineRule="exact"/>
      <w:ind w:firstLine="120" w:firstLineChars="50"/>
      <w:jc w:val="left"/>
    </w:pPr>
    <w:rPr>
      <w:rFonts w:ascii="宋体"/>
      <w:b/>
      <w:bCs/>
      <w:caps/>
      <w:color w:val="000000"/>
      <w:kern w:val="0"/>
      <w:sz w:val="24"/>
    </w:rPr>
  </w:style>
  <w:style w:type="paragraph" w:styleId="34">
    <w:name w:val="toc 4"/>
    <w:basedOn w:val="1"/>
    <w:next w:val="1"/>
    <w:autoRedefine/>
    <w:qFormat/>
    <w:uiPriority w:val="0"/>
    <w:pPr>
      <w:widowControl/>
      <w:spacing w:line="360" w:lineRule="auto"/>
      <w:ind w:left="200" w:leftChars="100" w:right="200" w:rightChars="100" w:firstLine="1298" w:firstLineChars="541"/>
      <w:jc w:val="left"/>
    </w:pPr>
    <w:rPr>
      <w:rFonts w:ascii="宋体"/>
      <w:color w:val="000000"/>
      <w:kern w:val="0"/>
      <w:sz w:val="24"/>
    </w:rPr>
  </w:style>
  <w:style w:type="paragraph" w:styleId="35">
    <w:name w:val="footnote text"/>
    <w:basedOn w:val="1"/>
    <w:link w:val="222"/>
    <w:autoRedefine/>
    <w:qFormat/>
    <w:uiPriority w:val="0"/>
    <w:pPr>
      <w:adjustRightInd w:val="0"/>
      <w:spacing w:line="312" w:lineRule="atLeast"/>
      <w:jc w:val="left"/>
      <w:textAlignment w:val="baseline"/>
    </w:pPr>
    <w:rPr>
      <w:rFonts w:ascii="Calibri" w:hAnsi="Calibri"/>
      <w:kern w:val="0"/>
      <w:sz w:val="18"/>
      <w:szCs w:val="20"/>
    </w:rPr>
  </w:style>
  <w:style w:type="paragraph" w:styleId="36">
    <w:name w:val="toc 6"/>
    <w:basedOn w:val="1"/>
    <w:next w:val="1"/>
    <w:autoRedefine/>
    <w:qFormat/>
    <w:uiPriority w:val="0"/>
    <w:pPr>
      <w:widowControl/>
      <w:ind w:left="1000"/>
      <w:jc w:val="left"/>
    </w:pPr>
    <w:rPr>
      <w:kern w:val="0"/>
      <w:sz w:val="18"/>
      <w:szCs w:val="18"/>
    </w:rPr>
  </w:style>
  <w:style w:type="paragraph" w:styleId="37">
    <w:name w:val="Body Text Indent 3"/>
    <w:basedOn w:val="1"/>
    <w:link w:val="212"/>
    <w:autoRedefine/>
    <w:qFormat/>
    <w:uiPriority w:val="0"/>
    <w:pPr>
      <w:widowControl/>
      <w:overflowPunct w:val="0"/>
      <w:ind w:firstLine="567"/>
      <w:jc w:val="left"/>
    </w:pPr>
    <w:rPr>
      <w:rFonts w:ascii="Calibri" w:hAnsi="Calibri"/>
      <w:spacing w:val="4"/>
      <w:kern w:val="0"/>
      <w:sz w:val="28"/>
      <w:szCs w:val="20"/>
    </w:rPr>
  </w:style>
  <w:style w:type="paragraph" w:styleId="38">
    <w:name w:val="toc 2"/>
    <w:basedOn w:val="1"/>
    <w:next w:val="1"/>
    <w:autoRedefine/>
    <w:qFormat/>
    <w:uiPriority w:val="0"/>
    <w:pPr>
      <w:widowControl/>
      <w:tabs>
        <w:tab w:val="right" w:leader="dot" w:pos="9345"/>
      </w:tabs>
      <w:spacing w:line="460" w:lineRule="exact"/>
      <w:ind w:left="440" w:leftChars="220"/>
      <w:jc w:val="left"/>
    </w:pPr>
    <w:rPr>
      <w:rFonts w:ascii="宋体"/>
      <w:smallCaps/>
      <w:kern w:val="0"/>
      <w:sz w:val="24"/>
    </w:rPr>
  </w:style>
  <w:style w:type="paragraph" w:styleId="39">
    <w:name w:val="toc 9"/>
    <w:basedOn w:val="1"/>
    <w:next w:val="1"/>
    <w:autoRedefine/>
    <w:qFormat/>
    <w:uiPriority w:val="0"/>
    <w:pPr>
      <w:widowControl/>
      <w:ind w:left="1600"/>
      <w:jc w:val="left"/>
    </w:pPr>
    <w:rPr>
      <w:kern w:val="0"/>
      <w:sz w:val="18"/>
      <w:szCs w:val="18"/>
    </w:rPr>
  </w:style>
  <w:style w:type="paragraph" w:styleId="40">
    <w:name w:val="Body Text 2"/>
    <w:basedOn w:val="1"/>
    <w:link w:val="205"/>
    <w:autoRedefine/>
    <w:qFormat/>
    <w:uiPriority w:val="0"/>
    <w:pPr>
      <w:snapToGrid w:val="0"/>
      <w:spacing w:line="300" w:lineRule="auto"/>
      <w:jc w:val="left"/>
    </w:pPr>
    <w:rPr>
      <w:rFonts w:ascii="宋体" w:hAnsi="宋体"/>
      <w:sz w:val="30"/>
    </w:rPr>
  </w:style>
  <w:style w:type="paragraph" w:styleId="41">
    <w:name w:val="Normal (Web)"/>
    <w:basedOn w:val="1"/>
    <w:autoRedefine/>
    <w:qFormat/>
    <w:uiPriority w:val="0"/>
    <w:pPr>
      <w:widowControl/>
      <w:spacing w:before="100" w:beforeAutospacing="1" w:after="100" w:afterAutospacing="1"/>
      <w:jc w:val="left"/>
    </w:pPr>
    <w:rPr>
      <w:rFonts w:ascii="宋体" w:hAnsi="宋体"/>
      <w:kern w:val="0"/>
      <w:sz w:val="24"/>
    </w:rPr>
  </w:style>
  <w:style w:type="paragraph" w:styleId="42">
    <w:name w:val="Title"/>
    <w:basedOn w:val="1"/>
    <w:next w:val="1"/>
    <w:link w:val="224"/>
    <w:autoRedefine/>
    <w:qFormat/>
    <w:uiPriority w:val="0"/>
    <w:pPr>
      <w:spacing w:before="160" w:after="40" w:line="0" w:lineRule="atLeast"/>
      <w:ind w:left="425" w:hanging="425"/>
      <w:jc w:val="left"/>
      <w:outlineLvl w:val="0"/>
    </w:pPr>
    <w:rPr>
      <w:rFonts w:ascii="Arial" w:hAnsi="Arial"/>
      <w:b/>
      <w:bCs/>
      <w:sz w:val="32"/>
      <w:szCs w:val="32"/>
    </w:rPr>
  </w:style>
  <w:style w:type="paragraph" w:styleId="43">
    <w:name w:val="annotation subject"/>
    <w:basedOn w:val="15"/>
    <w:next w:val="15"/>
    <w:link w:val="216"/>
    <w:autoRedefine/>
    <w:qFormat/>
    <w:uiPriority w:val="0"/>
    <w:pPr>
      <w:widowControl/>
    </w:pPr>
    <w:rPr>
      <w:b/>
      <w:bCs/>
      <w:kern w:val="0"/>
      <w:sz w:val="20"/>
      <w:szCs w:val="20"/>
    </w:rPr>
  </w:style>
  <w:style w:type="table" w:styleId="45">
    <w:name w:val="Table Grid"/>
    <w:basedOn w:val="4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autoRedefine/>
    <w:qFormat/>
    <w:uiPriority w:val="0"/>
    <w:rPr>
      <w:b/>
      <w:bCs/>
    </w:rPr>
  </w:style>
  <w:style w:type="character" w:styleId="48">
    <w:name w:val="endnote reference"/>
    <w:autoRedefine/>
    <w:qFormat/>
    <w:uiPriority w:val="0"/>
    <w:rPr>
      <w:vertAlign w:val="superscript"/>
    </w:rPr>
  </w:style>
  <w:style w:type="character" w:styleId="49">
    <w:name w:val="page number"/>
    <w:basedOn w:val="46"/>
    <w:autoRedefine/>
    <w:qFormat/>
    <w:uiPriority w:val="0"/>
  </w:style>
  <w:style w:type="character" w:styleId="50">
    <w:name w:val="FollowedHyperlink"/>
    <w:autoRedefine/>
    <w:qFormat/>
    <w:uiPriority w:val="99"/>
    <w:rPr>
      <w:color w:val="273843"/>
      <w:sz w:val="18"/>
      <w:szCs w:val="18"/>
      <w:u w:val="none"/>
    </w:rPr>
  </w:style>
  <w:style w:type="character" w:styleId="51">
    <w:name w:val="Emphasis"/>
    <w:autoRedefine/>
    <w:qFormat/>
    <w:uiPriority w:val="0"/>
    <w:rPr>
      <w:color w:val="CC0000"/>
    </w:rPr>
  </w:style>
  <w:style w:type="character" w:styleId="52">
    <w:name w:val="Hyperlink"/>
    <w:autoRedefine/>
    <w:qFormat/>
    <w:uiPriority w:val="0"/>
    <w:rPr>
      <w:color w:val="273843"/>
      <w:sz w:val="18"/>
      <w:szCs w:val="18"/>
      <w:u w:val="none"/>
    </w:rPr>
  </w:style>
  <w:style w:type="character" w:styleId="53">
    <w:name w:val="annotation reference"/>
    <w:autoRedefine/>
    <w:qFormat/>
    <w:uiPriority w:val="0"/>
    <w:rPr>
      <w:sz w:val="21"/>
      <w:szCs w:val="21"/>
    </w:rPr>
  </w:style>
  <w:style w:type="character" w:styleId="54">
    <w:name w:val="footnote reference"/>
    <w:autoRedefine/>
    <w:qFormat/>
    <w:uiPriority w:val="0"/>
    <w:rPr>
      <w:vertAlign w:val="superscript"/>
    </w:rPr>
  </w:style>
  <w:style w:type="paragraph" w:customStyle="1" w:styleId="55">
    <w:name w:val="CM42"/>
    <w:basedOn w:val="56"/>
    <w:next w:val="56"/>
    <w:autoRedefine/>
    <w:qFormat/>
    <w:uiPriority w:val="0"/>
    <w:pPr>
      <w:spacing w:line="273" w:lineRule="atLeast"/>
    </w:pPr>
    <w:rPr>
      <w:rFonts w:ascii="黑体" w:eastAsia="黑体"/>
      <w:color w:val="auto"/>
      <w:szCs w:val="20"/>
    </w:rPr>
  </w:style>
  <w:style w:type="paragraph" w:customStyle="1" w:styleId="56">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57">
    <w:name w:val="Char Char1 Char Char Char Char Char Char Char Char"/>
    <w:basedOn w:val="1"/>
    <w:autoRedefine/>
    <w:qFormat/>
    <w:uiPriority w:val="0"/>
    <w:rPr>
      <w:rFonts w:ascii="宋体"/>
      <w:b/>
      <w:sz w:val="32"/>
      <w:szCs w:val="32"/>
    </w:rPr>
  </w:style>
  <w:style w:type="paragraph" w:customStyle="1" w:styleId="58">
    <w:name w:val="CM110"/>
    <w:basedOn w:val="56"/>
    <w:next w:val="56"/>
    <w:autoRedefine/>
    <w:qFormat/>
    <w:uiPriority w:val="0"/>
    <w:pPr>
      <w:spacing w:after="2190"/>
    </w:pPr>
    <w:rPr>
      <w:rFonts w:ascii="黑体" w:eastAsia="黑体"/>
      <w:color w:val="auto"/>
      <w:szCs w:val="20"/>
    </w:rPr>
  </w:style>
  <w:style w:type="paragraph" w:customStyle="1" w:styleId="59">
    <w:name w:val="CM20"/>
    <w:basedOn w:val="56"/>
    <w:next w:val="56"/>
    <w:autoRedefine/>
    <w:qFormat/>
    <w:uiPriority w:val="0"/>
    <w:pPr>
      <w:spacing w:line="273" w:lineRule="atLeast"/>
    </w:pPr>
    <w:rPr>
      <w:rFonts w:ascii="黑体" w:eastAsia="黑体"/>
      <w:color w:val="auto"/>
      <w:szCs w:val="20"/>
    </w:rPr>
  </w:style>
  <w:style w:type="paragraph" w:customStyle="1" w:styleId="60">
    <w:name w:val="FF"/>
    <w:autoRedefine/>
    <w:qFormat/>
    <w:uiPriority w:val="0"/>
    <w:pPr>
      <w:keepLines/>
      <w:overflowPunct w:val="0"/>
      <w:autoSpaceDE w:val="0"/>
      <w:autoSpaceDN w:val="0"/>
      <w:adjustRightInd w:val="0"/>
      <w:spacing w:after="240"/>
      <w:jc w:val="both"/>
      <w:textAlignment w:val="baseline"/>
    </w:pPr>
    <w:rPr>
      <w:rFonts w:ascii="宋体" w:hAnsi="宋体" w:eastAsia="宋体" w:cs="Times New Roman"/>
      <w:sz w:val="24"/>
      <w:lang w:val="de-DE" w:eastAsia="zh-CN" w:bidi="ar-SA"/>
    </w:rPr>
  </w:style>
  <w:style w:type="paragraph" w:customStyle="1" w:styleId="61">
    <w:name w:val="CM8"/>
    <w:basedOn w:val="56"/>
    <w:next w:val="56"/>
    <w:autoRedefine/>
    <w:qFormat/>
    <w:uiPriority w:val="0"/>
    <w:pPr>
      <w:spacing w:line="360" w:lineRule="atLeast"/>
    </w:pPr>
    <w:rPr>
      <w:rFonts w:ascii="黑体" w:eastAsia="黑体"/>
      <w:color w:val="auto"/>
      <w:szCs w:val="20"/>
    </w:rPr>
  </w:style>
  <w:style w:type="paragraph" w:customStyle="1" w:styleId="62">
    <w:name w:val="CM60"/>
    <w:basedOn w:val="56"/>
    <w:next w:val="56"/>
    <w:autoRedefine/>
    <w:qFormat/>
    <w:uiPriority w:val="0"/>
    <w:pPr>
      <w:spacing w:line="271" w:lineRule="atLeast"/>
    </w:pPr>
    <w:rPr>
      <w:rFonts w:ascii="黑体" w:eastAsia="黑体"/>
      <w:color w:val="auto"/>
      <w:szCs w:val="20"/>
    </w:rPr>
  </w:style>
  <w:style w:type="paragraph" w:customStyle="1" w:styleId="63">
    <w:name w:val="CM101"/>
    <w:basedOn w:val="56"/>
    <w:next w:val="56"/>
    <w:autoRedefine/>
    <w:qFormat/>
    <w:uiPriority w:val="0"/>
    <w:pPr>
      <w:spacing w:after="1575"/>
    </w:pPr>
    <w:rPr>
      <w:rFonts w:ascii="黑体" w:eastAsia="黑体"/>
      <w:color w:val="auto"/>
      <w:szCs w:val="20"/>
    </w:rPr>
  </w:style>
  <w:style w:type="paragraph" w:customStyle="1" w:styleId="64">
    <w:name w:val="CM48"/>
    <w:basedOn w:val="56"/>
    <w:next w:val="56"/>
    <w:autoRedefine/>
    <w:qFormat/>
    <w:uiPriority w:val="0"/>
    <w:pPr>
      <w:spacing w:line="273" w:lineRule="atLeast"/>
    </w:pPr>
    <w:rPr>
      <w:rFonts w:ascii="黑体" w:eastAsia="黑体"/>
      <w:color w:val="auto"/>
      <w:szCs w:val="20"/>
    </w:rPr>
  </w:style>
  <w:style w:type="paragraph" w:customStyle="1" w:styleId="65">
    <w:name w:val="CM21"/>
    <w:basedOn w:val="56"/>
    <w:next w:val="56"/>
    <w:autoRedefine/>
    <w:qFormat/>
    <w:uiPriority w:val="0"/>
    <w:pPr>
      <w:spacing w:line="273" w:lineRule="atLeast"/>
    </w:pPr>
    <w:rPr>
      <w:rFonts w:ascii="黑体" w:eastAsia="黑体"/>
      <w:color w:val="auto"/>
      <w:szCs w:val="20"/>
    </w:rPr>
  </w:style>
  <w:style w:type="paragraph" w:customStyle="1" w:styleId="66">
    <w:name w:val="CM111"/>
    <w:basedOn w:val="56"/>
    <w:next w:val="56"/>
    <w:autoRedefine/>
    <w:qFormat/>
    <w:uiPriority w:val="0"/>
    <w:pPr>
      <w:spacing w:after="618"/>
    </w:pPr>
    <w:rPr>
      <w:rFonts w:ascii="黑体" w:eastAsia="黑体"/>
      <w:color w:val="auto"/>
      <w:szCs w:val="20"/>
    </w:rPr>
  </w:style>
  <w:style w:type="paragraph" w:customStyle="1" w:styleId="67">
    <w:name w:val="Char Char1 Char Char Char Char"/>
    <w:basedOn w:val="1"/>
    <w:autoRedefine/>
    <w:qFormat/>
    <w:uiPriority w:val="0"/>
    <w:rPr>
      <w:rFonts w:ascii="Tahoma" w:hAnsi="Tahoma"/>
      <w:sz w:val="24"/>
    </w:rPr>
  </w:style>
  <w:style w:type="paragraph" w:customStyle="1" w:styleId="68">
    <w:name w:val="CM51"/>
    <w:basedOn w:val="56"/>
    <w:next w:val="56"/>
    <w:autoRedefine/>
    <w:qFormat/>
    <w:uiPriority w:val="0"/>
    <w:rPr>
      <w:rFonts w:ascii="黑体" w:eastAsia="黑体"/>
      <w:color w:val="auto"/>
      <w:szCs w:val="20"/>
    </w:rPr>
  </w:style>
  <w:style w:type="paragraph" w:customStyle="1" w:styleId="69">
    <w:name w:val="Char Char1 Char Char Char Char1"/>
    <w:basedOn w:val="1"/>
    <w:autoRedefine/>
    <w:qFormat/>
    <w:uiPriority w:val="0"/>
    <w:rPr>
      <w:rFonts w:ascii="Tahoma" w:hAnsi="Tahoma"/>
      <w:sz w:val="24"/>
    </w:rPr>
  </w:style>
  <w:style w:type="paragraph" w:customStyle="1" w:styleId="70">
    <w:name w:val="CM18"/>
    <w:basedOn w:val="56"/>
    <w:next w:val="56"/>
    <w:autoRedefine/>
    <w:qFormat/>
    <w:uiPriority w:val="0"/>
    <w:pPr>
      <w:spacing w:line="273" w:lineRule="atLeast"/>
    </w:pPr>
    <w:rPr>
      <w:rFonts w:ascii="黑体" w:eastAsia="黑体"/>
      <w:color w:val="auto"/>
      <w:szCs w:val="20"/>
    </w:rPr>
  </w:style>
  <w:style w:type="paragraph" w:customStyle="1" w:styleId="71">
    <w:name w:val="CM61"/>
    <w:basedOn w:val="56"/>
    <w:next w:val="56"/>
    <w:autoRedefine/>
    <w:qFormat/>
    <w:uiPriority w:val="0"/>
    <w:pPr>
      <w:spacing w:line="271" w:lineRule="atLeast"/>
    </w:pPr>
    <w:rPr>
      <w:rFonts w:ascii="黑体" w:eastAsia="黑体"/>
      <w:color w:val="auto"/>
      <w:szCs w:val="20"/>
    </w:rPr>
  </w:style>
  <w:style w:type="paragraph" w:customStyle="1" w:styleId="72">
    <w:name w:val="CM36"/>
    <w:basedOn w:val="56"/>
    <w:next w:val="56"/>
    <w:autoRedefine/>
    <w:qFormat/>
    <w:uiPriority w:val="0"/>
    <w:pPr>
      <w:spacing w:line="273" w:lineRule="atLeast"/>
    </w:pPr>
    <w:rPr>
      <w:rFonts w:ascii="黑体" w:eastAsia="黑体"/>
      <w:color w:val="auto"/>
      <w:szCs w:val="20"/>
    </w:rPr>
  </w:style>
  <w:style w:type="paragraph" w:customStyle="1" w:styleId="73">
    <w:name w:val="CM12"/>
    <w:basedOn w:val="56"/>
    <w:next w:val="56"/>
    <w:autoRedefine/>
    <w:qFormat/>
    <w:uiPriority w:val="0"/>
    <w:pPr>
      <w:spacing w:line="363" w:lineRule="atLeast"/>
    </w:pPr>
    <w:rPr>
      <w:rFonts w:ascii="黑体" w:eastAsia="黑体"/>
      <w:color w:val="auto"/>
      <w:szCs w:val="20"/>
    </w:rPr>
  </w:style>
  <w:style w:type="paragraph" w:customStyle="1" w:styleId="74">
    <w:name w:val="CM102"/>
    <w:basedOn w:val="56"/>
    <w:next w:val="56"/>
    <w:autoRedefine/>
    <w:qFormat/>
    <w:uiPriority w:val="0"/>
    <w:pPr>
      <w:spacing w:after="275"/>
    </w:pPr>
    <w:rPr>
      <w:rFonts w:ascii="黑体" w:eastAsia="黑体"/>
      <w:color w:val="auto"/>
      <w:szCs w:val="20"/>
    </w:rPr>
  </w:style>
  <w:style w:type="paragraph" w:customStyle="1" w:styleId="75">
    <w:name w:val="样式 宋体 灰色-80%"/>
    <w:basedOn w:val="2"/>
    <w:next w:val="1"/>
    <w:link w:val="190"/>
    <w:autoRedefine/>
    <w:qFormat/>
    <w:uiPriority w:val="0"/>
    <w:pPr>
      <w:numPr>
        <w:ilvl w:val="0"/>
        <w:numId w:val="0"/>
      </w:numPr>
      <w:adjustRightInd/>
      <w:spacing w:line="280" w:lineRule="exact"/>
      <w:textAlignment w:val="auto"/>
    </w:pPr>
    <w:rPr>
      <w:rFonts w:ascii="宋体" w:hAnsi="宋体"/>
      <w:bCs/>
      <w:color w:val="333333"/>
      <w:szCs w:val="21"/>
    </w:rPr>
  </w:style>
  <w:style w:type="paragraph" w:customStyle="1" w:styleId="76">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77">
    <w:name w:val="CM97"/>
    <w:basedOn w:val="56"/>
    <w:next w:val="56"/>
    <w:autoRedefine/>
    <w:qFormat/>
    <w:uiPriority w:val="0"/>
    <w:pPr>
      <w:spacing w:after="128"/>
    </w:pPr>
    <w:rPr>
      <w:rFonts w:ascii="黑体" w:eastAsia="黑体"/>
      <w:color w:val="auto"/>
      <w:szCs w:val="20"/>
    </w:rPr>
  </w:style>
  <w:style w:type="paragraph" w:customStyle="1" w:styleId="78">
    <w:name w:val="CM38"/>
    <w:basedOn w:val="56"/>
    <w:next w:val="56"/>
    <w:autoRedefine/>
    <w:qFormat/>
    <w:uiPriority w:val="0"/>
    <w:pPr>
      <w:spacing w:line="273" w:lineRule="atLeast"/>
    </w:pPr>
    <w:rPr>
      <w:rFonts w:ascii="黑体" w:eastAsia="黑体"/>
      <w:color w:val="auto"/>
      <w:szCs w:val="20"/>
    </w:rPr>
  </w:style>
  <w:style w:type="paragraph" w:customStyle="1" w:styleId="79">
    <w:name w:val="章标题"/>
    <w:next w:val="1"/>
    <w:autoRedefine/>
    <w:qFormat/>
    <w:uiPriority w:val="0"/>
    <w:pPr>
      <w:spacing w:beforeLines="50" w:afterLines="50"/>
      <w:ind w:left="315"/>
      <w:jc w:val="both"/>
      <w:outlineLvl w:val="1"/>
    </w:pPr>
    <w:rPr>
      <w:rFonts w:ascii="黑体" w:hAnsi="Times New Roman" w:eastAsia="黑体" w:cs="Times New Roman"/>
      <w:sz w:val="21"/>
      <w:lang w:val="en-US" w:eastAsia="zh-CN" w:bidi="ar-SA"/>
    </w:rPr>
  </w:style>
  <w:style w:type="paragraph" w:customStyle="1" w:styleId="80">
    <w:name w:val="CM41"/>
    <w:basedOn w:val="56"/>
    <w:next w:val="56"/>
    <w:autoRedefine/>
    <w:qFormat/>
    <w:uiPriority w:val="0"/>
    <w:pPr>
      <w:spacing w:line="273" w:lineRule="atLeast"/>
    </w:pPr>
    <w:rPr>
      <w:rFonts w:ascii="黑体" w:eastAsia="黑体"/>
      <w:color w:val="auto"/>
      <w:szCs w:val="20"/>
    </w:rPr>
  </w:style>
  <w:style w:type="paragraph" w:customStyle="1" w:styleId="81">
    <w:name w:val="Char3"/>
    <w:basedOn w:val="14"/>
    <w:autoRedefine/>
    <w:qFormat/>
    <w:uiPriority w:val="0"/>
    <w:pPr>
      <w:widowControl w:val="0"/>
      <w:jc w:val="both"/>
    </w:pPr>
    <w:rPr>
      <w:kern w:val="2"/>
      <w:sz w:val="21"/>
      <w:szCs w:val="24"/>
    </w:rPr>
  </w:style>
  <w:style w:type="paragraph" w:customStyle="1" w:styleId="82">
    <w:name w:val="CM10"/>
    <w:basedOn w:val="56"/>
    <w:next w:val="56"/>
    <w:autoRedefine/>
    <w:qFormat/>
    <w:uiPriority w:val="0"/>
    <w:rPr>
      <w:rFonts w:ascii="黑体" w:eastAsia="黑体"/>
      <w:color w:val="auto"/>
      <w:szCs w:val="20"/>
    </w:rPr>
  </w:style>
  <w:style w:type="paragraph" w:customStyle="1" w:styleId="83">
    <w:name w:val="CM103"/>
    <w:basedOn w:val="56"/>
    <w:next w:val="56"/>
    <w:autoRedefine/>
    <w:qFormat/>
    <w:uiPriority w:val="0"/>
    <w:pPr>
      <w:spacing w:after="60"/>
    </w:pPr>
    <w:rPr>
      <w:rFonts w:ascii="黑体" w:eastAsia="黑体"/>
      <w:color w:val="auto"/>
      <w:szCs w:val="20"/>
    </w:rPr>
  </w:style>
  <w:style w:type="paragraph" w:customStyle="1" w:styleId="84">
    <w:name w:val="菲页2"/>
    <w:basedOn w:val="4"/>
    <w:autoRedefine/>
    <w:qFormat/>
    <w:uiPriority w:val="0"/>
    <w:pPr>
      <w:widowControl/>
      <w:tabs>
        <w:tab w:val="left" w:pos="2160"/>
      </w:tabs>
      <w:adjustRightInd/>
      <w:spacing w:before="120" w:after="120"/>
      <w:ind w:left="2160" w:hanging="360"/>
      <w:textAlignment w:val="auto"/>
    </w:pPr>
    <w:rPr>
      <w:rFonts w:ascii="黑体" w:eastAsia="黑体"/>
      <w:b w:val="0"/>
      <w:sz w:val="44"/>
    </w:rPr>
  </w:style>
  <w:style w:type="paragraph" w:customStyle="1" w:styleId="85">
    <w:name w:val="CM69"/>
    <w:basedOn w:val="56"/>
    <w:next w:val="56"/>
    <w:autoRedefine/>
    <w:qFormat/>
    <w:uiPriority w:val="0"/>
    <w:pPr>
      <w:spacing w:line="360" w:lineRule="atLeast"/>
    </w:pPr>
    <w:rPr>
      <w:rFonts w:ascii="黑体" w:eastAsia="黑体"/>
      <w:color w:val="auto"/>
      <w:szCs w:val="20"/>
    </w:rPr>
  </w:style>
  <w:style w:type="paragraph" w:customStyle="1" w:styleId="86">
    <w:name w:val="CM32"/>
    <w:basedOn w:val="56"/>
    <w:next w:val="56"/>
    <w:autoRedefine/>
    <w:qFormat/>
    <w:uiPriority w:val="0"/>
    <w:rPr>
      <w:rFonts w:ascii="黑体" w:eastAsia="黑体"/>
      <w:color w:val="auto"/>
      <w:szCs w:val="20"/>
    </w:rPr>
  </w:style>
  <w:style w:type="paragraph" w:customStyle="1" w:styleId="87">
    <w:name w:val="Char Char Char Char"/>
    <w:basedOn w:val="14"/>
    <w:autoRedefine/>
    <w:qFormat/>
    <w:uiPriority w:val="0"/>
    <w:pPr>
      <w:widowControl w:val="0"/>
      <w:spacing w:before="3" w:line="240" w:lineRule="atLeast"/>
      <w:ind w:right="-23"/>
      <w:jc w:val="both"/>
    </w:pPr>
    <w:rPr>
      <w:rFonts w:ascii="Tahoma" w:hAnsi="Tahoma"/>
      <w:kern w:val="2"/>
      <w:sz w:val="24"/>
      <w:szCs w:val="24"/>
    </w:rPr>
  </w:style>
  <w:style w:type="paragraph" w:customStyle="1" w:styleId="88">
    <w:name w:val="Definition Term"/>
    <w:basedOn w:val="1"/>
    <w:next w:val="1"/>
    <w:autoRedefine/>
    <w:qFormat/>
    <w:uiPriority w:val="0"/>
    <w:pPr>
      <w:widowControl/>
      <w:autoSpaceDE w:val="0"/>
      <w:autoSpaceDN w:val="0"/>
      <w:adjustRightInd w:val="0"/>
      <w:jc w:val="left"/>
    </w:pPr>
    <w:rPr>
      <w:rFonts w:ascii="宋体" w:hAnsi="宋体" w:cs="宋体"/>
      <w:kern w:val="0"/>
      <w:sz w:val="24"/>
      <w:szCs w:val="20"/>
    </w:rPr>
  </w:style>
  <w:style w:type="paragraph" w:customStyle="1" w:styleId="89">
    <w:name w:val="CM55"/>
    <w:basedOn w:val="56"/>
    <w:next w:val="56"/>
    <w:autoRedefine/>
    <w:qFormat/>
    <w:uiPriority w:val="0"/>
    <w:rPr>
      <w:rFonts w:ascii="黑体" w:eastAsia="黑体"/>
      <w:color w:val="auto"/>
      <w:szCs w:val="20"/>
    </w:rPr>
  </w:style>
  <w:style w:type="paragraph" w:customStyle="1" w:styleId="90">
    <w:name w:val="前言、引言标题"/>
    <w:next w:val="1"/>
    <w:autoRedefine/>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91">
    <w:name w:val="样式 二级条标题 + 行距: 固定值 22 磅"/>
    <w:basedOn w:val="92"/>
    <w:autoRedefine/>
    <w:qFormat/>
    <w:uiPriority w:val="0"/>
    <w:pPr>
      <w:tabs>
        <w:tab w:val="left" w:pos="2220"/>
      </w:tabs>
      <w:spacing w:line="440" w:lineRule="exact"/>
      <w:ind w:left="2220" w:hanging="420"/>
    </w:pPr>
    <w:rPr>
      <w:rFonts w:cs="宋体"/>
    </w:rPr>
  </w:style>
  <w:style w:type="paragraph" w:customStyle="1" w:styleId="92">
    <w:name w:val="二级条标题"/>
    <w:basedOn w:val="93"/>
    <w:next w:val="1"/>
    <w:autoRedefine/>
    <w:qFormat/>
    <w:uiPriority w:val="0"/>
    <w:pPr>
      <w:spacing w:line="60" w:lineRule="atLeast"/>
    </w:pPr>
    <w:rPr>
      <w:b w:val="0"/>
    </w:rPr>
  </w:style>
  <w:style w:type="paragraph" w:customStyle="1" w:styleId="93">
    <w:name w:val="一级条标题"/>
    <w:basedOn w:val="79"/>
    <w:next w:val="1"/>
    <w:autoRedefine/>
    <w:qFormat/>
    <w:uiPriority w:val="0"/>
    <w:pPr>
      <w:spacing w:beforeLines="0" w:afterLines="0"/>
      <w:ind w:left="0"/>
      <w:outlineLvl w:val="2"/>
    </w:pPr>
    <w:rPr>
      <w:rFonts w:eastAsia="宋体"/>
      <w:b/>
      <w:sz w:val="28"/>
    </w:rPr>
  </w:style>
  <w:style w:type="paragraph" w:customStyle="1" w:styleId="94">
    <w:name w:val="CM2"/>
    <w:basedOn w:val="56"/>
    <w:next w:val="56"/>
    <w:autoRedefine/>
    <w:qFormat/>
    <w:uiPriority w:val="0"/>
    <w:pPr>
      <w:spacing w:line="400" w:lineRule="atLeast"/>
    </w:pPr>
    <w:rPr>
      <w:rFonts w:ascii="黑体" w:eastAsia="黑体"/>
      <w:color w:val="auto"/>
      <w:szCs w:val="20"/>
    </w:rPr>
  </w:style>
  <w:style w:type="paragraph" w:customStyle="1" w:styleId="95">
    <w:name w:val="CM109"/>
    <w:basedOn w:val="56"/>
    <w:next w:val="56"/>
    <w:autoRedefine/>
    <w:qFormat/>
    <w:uiPriority w:val="0"/>
    <w:pPr>
      <w:spacing w:after="880"/>
    </w:pPr>
    <w:rPr>
      <w:rFonts w:ascii="黑体" w:eastAsia="黑体"/>
      <w:color w:val="auto"/>
      <w:szCs w:val="20"/>
    </w:rPr>
  </w:style>
  <w:style w:type="paragraph" w:customStyle="1" w:styleId="96">
    <w:name w:val="CM95"/>
    <w:basedOn w:val="56"/>
    <w:next w:val="56"/>
    <w:autoRedefine/>
    <w:qFormat/>
    <w:uiPriority w:val="0"/>
    <w:pPr>
      <w:spacing w:after="965"/>
    </w:pPr>
    <w:rPr>
      <w:rFonts w:ascii="黑体" w:eastAsia="黑体"/>
      <w:color w:val="auto"/>
      <w:szCs w:val="20"/>
    </w:rPr>
  </w:style>
  <w:style w:type="paragraph" w:customStyle="1" w:styleId="97">
    <w:name w:val="CM6"/>
    <w:basedOn w:val="56"/>
    <w:next w:val="56"/>
    <w:autoRedefine/>
    <w:qFormat/>
    <w:uiPriority w:val="0"/>
    <w:pPr>
      <w:spacing w:line="360" w:lineRule="atLeast"/>
    </w:pPr>
    <w:rPr>
      <w:rFonts w:ascii="黑体" w:eastAsia="黑体"/>
      <w:color w:val="auto"/>
      <w:szCs w:val="20"/>
    </w:rPr>
  </w:style>
  <w:style w:type="paragraph" w:customStyle="1" w:styleId="98">
    <w:name w:val="Char Char Char Char Char"/>
    <w:basedOn w:val="1"/>
    <w:autoRedefine/>
    <w:qFormat/>
    <w:uiPriority w:val="0"/>
    <w:rPr>
      <w:rFonts w:ascii="Tahoma" w:hAnsi="Tahoma"/>
      <w:sz w:val="24"/>
      <w:szCs w:val="20"/>
    </w:rPr>
  </w:style>
  <w:style w:type="paragraph" w:customStyle="1" w:styleId="99">
    <w:name w:val="CM72"/>
    <w:basedOn w:val="56"/>
    <w:next w:val="56"/>
    <w:autoRedefine/>
    <w:qFormat/>
    <w:uiPriority w:val="0"/>
    <w:pPr>
      <w:spacing w:line="360" w:lineRule="atLeast"/>
    </w:pPr>
    <w:rPr>
      <w:rFonts w:ascii="黑体" w:eastAsia="黑体"/>
      <w:color w:val="auto"/>
      <w:szCs w:val="20"/>
    </w:rPr>
  </w:style>
  <w:style w:type="paragraph" w:customStyle="1" w:styleId="100">
    <w:name w:val="Char Char"/>
    <w:basedOn w:val="1"/>
    <w:autoRedefine/>
    <w:qFormat/>
    <w:uiPriority w:val="0"/>
    <w:pPr>
      <w:widowControl/>
      <w:jc w:val="left"/>
    </w:pPr>
    <w:rPr>
      <w:rFonts w:ascii="Tahoma" w:hAnsi="Tahoma" w:cs="宋体"/>
      <w:kern w:val="0"/>
      <w:sz w:val="24"/>
    </w:rPr>
  </w:style>
  <w:style w:type="paragraph" w:customStyle="1" w:styleId="101">
    <w:name w:val="五级条标题"/>
    <w:basedOn w:val="1"/>
    <w:next w:val="1"/>
    <w:autoRedefine/>
    <w:qFormat/>
    <w:uiPriority w:val="0"/>
    <w:pPr>
      <w:widowControl/>
      <w:spacing w:line="60" w:lineRule="atLeast"/>
      <w:jc w:val="left"/>
      <w:outlineLvl w:val="6"/>
    </w:pPr>
    <w:rPr>
      <w:rFonts w:ascii="黑体" w:hAnsi="宋体" w:cs="宋体"/>
      <w:kern w:val="0"/>
      <w:sz w:val="28"/>
      <w:szCs w:val="20"/>
    </w:rPr>
  </w:style>
  <w:style w:type="paragraph" w:customStyle="1" w:styleId="102">
    <w:name w:val="CM29"/>
    <w:basedOn w:val="56"/>
    <w:next w:val="56"/>
    <w:autoRedefine/>
    <w:qFormat/>
    <w:uiPriority w:val="0"/>
    <w:pPr>
      <w:spacing w:line="273" w:lineRule="atLeast"/>
    </w:pPr>
    <w:rPr>
      <w:rFonts w:ascii="黑体" w:eastAsia="黑体"/>
      <w:color w:val="auto"/>
      <w:szCs w:val="20"/>
    </w:rPr>
  </w:style>
  <w:style w:type="paragraph" w:customStyle="1" w:styleId="103">
    <w:name w:val="CM93"/>
    <w:basedOn w:val="56"/>
    <w:next w:val="56"/>
    <w:autoRedefine/>
    <w:qFormat/>
    <w:uiPriority w:val="0"/>
    <w:pPr>
      <w:spacing w:after="2015"/>
    </w:pPr>
    <w:rPr>
      <w:rFonts w:ascii="黑体" w:eastAsia="黑体"/>
      <w:color w:val="auto"/>
      <w:szCs w:val="20"/>
    </w:rPr>
  </w:style>
  <w:style w:type="paragraph" w:customStyle="1" w:styleId="104">
    <w:name w:val="CM75"/>
    <w:basedOn w:val="56"/>
    <w:next w:val="56"/>
    <w:autoRedefine/>
    <w:qFormat/>
    <w:uiPriority w:val="0"/>
    <w:pPr>
      <w:spacing w:line="400" w:lineRule="atLeast"/>
    </w:pPr>
    <w:rPr>
      <w:rFonts w:ascii="黑体" w:eastAsia="黑体"/>
      <w:color w:val="auto"/>
      <w:szCs w:val="20"/>
    </w:rPr>
  </w:style>
  <w:style w:type="paragraph" w:customStyle="1" w:styleId="105">
    <w:name w:val="正文1"/>
    <w:basedOn w:val="1"/>
    <w:autoRedefine/>
    <w:qFormat/>
    <w:uiPriority w:val="0"/>
    <w:pPr>
      <w:adjustRightInd w:val="0"/>
      <w:spacing w:line="312" w:lineRule="atLeast"/>
      <w:textAlignment w:val="baseline"/>
    </w:pPr>
    <w:rPr>
      <w:rFonts w:ascii="宋体"/>
      <w:kern w:val="0"/>
      <w:sz w:val="24"/>
      <w:szCs w:val="20"/>
    </w:rPr>
  </w:style>
  <w:style w:type="paragraph" w:customStyle="1" w:styleId="106">
    <w:name w:val="样式 (西文) 楷体_GB2312 行距: 1.5 倍行距"/>
    <w:basedOn w:val="1"/>
    <w:autoRedefine/>
    <w:qFormat/>
    <w:uiPriority w:val="0"/>
    <w:pPr>
      <w:widowControl/>
      <w:jc w:val="left"/>
    </w:pPr>
    <w:rPr>
      <w:rFonts w:ascii="宋体" w:hAnsi="宋体" w:cs="宋体"/>
      <w:kern w:val="0"/>
      <w:sz w:val="24"/>
    </w:rPr>
  </w:style>
  <w:style w:type="paragraph" w:customStyle="1" w:styleId="107">
    <w:name w:val="CM30"/>
    <w:basedOn w:val="56"/>
    <w:next w:val="56"/>
    <w:autoRedefine/>
    <w:qFormat/>
    <w:uiPriority w:val="0"/>
    <w:pPr>
      <w:spacing w:line="273" w:lineRule="atLeast"/>
    </w:pPr>
    <w:rPr>
      <w:rFonts w:ascii="黑体" w:eastAsia="黑体"/>
      <w:color w:val="auto"/>
      <w:szCs w:val="20"/>
    </w:rPr>
  </w:style>
  <w:style w:type="paragraph" w:customStyle="1" w:styleId="108">
    <w:name w:val="Body Text 4"/>
    <w:basedOn w:val="17"/>
    <w:autoRedefine/>
    <w:qFormat/>
    <w:uiPriority w:val="0"/>
    <w:pPr>
      <w:widowControl/>
      <w:spacing w:before="60" w:after="0"/>
    </w:pPr>
    <w:rPr>
      <w:rFonts w:ascii="宋体" w:hAnsi="宋体"/>
      <w:kern w:val="0"/>
      <w:sz w:val="24"/>
      <w:szCs w:val="20"/>
      <w:lang w:eastAsia="en-US"/>
    </w:rPr>
  </w:style>
  <w:style w:type="paragraph" w:customStyle="1" w:styleId="109">
    <w:name w:val="CM40"/>
    <w:basedOn w:val="56"/>
    <w:next w:val="56"/>
    <w:autoRedefine/>
    <w:qFormat/>
    <w:uiPriority w:val="0"/>
    <w:pPr>
      <w:spacing w:line="273" w:lineRule="atLeast"/>
    </w:pPr>
    <w:rPr>
      <w:rFonts w:ascii="黑体" w:eastAsia="黑体"/>
      <w:color w:val="auto"/>
      <w:szCs w:val="20"/>
    </w:rPr>
  </w:style>
  <w:style w:type="paragraph" w:customStyle="1" w:styleId="110">
    <w:name w:val="CM80"/>
    <w:basedOn w:val="56"/>
    <w:next w:val="56"/>
    <w:autoRedefine/>
    <w:qFormat/>
    <w:uiPriority w:val="0"/>
    <w:pPr>
      <w:spacing w:line="400" w:lineRule="atLeast"/>
    </w:pPr>
    <w:rPr>
      <w:rFonts w:ascii="黑体" w:eastAsia="黑体"/>
      <w:color w:val="auto"/>
      <w:szCs w:val="20"/>
    </w:rPr>
  </w:style>
  <w:style w:type="paragraph" w:customStyle="1" w:styleId="111">
    <w:name w:val="CM90"/>
    <w:basedOn w:val="56"/>
    <w:next w:val="56"/>
    <w:autoRedefine/>
    <w:qFormat/>
    <w:uiPriority w:val="0"/>
    <w:rPr>
      <w:rFonts w:ascii="黑体" w:eastAsia="黑体"/>
      <w:color w:val="auto"/>
      <w:szCs w:val="20"/>
    </w:rPr>
  </w:style>
  <w:style w:type="paragraph" w:customStyle="1" w:styleId="112">
    <w:name w:val="CM1"/>
    <w:basedOn w:val="56"/>
    <w:next w:val="56"/>
    <w:autoRedefine/>
    <w:qFormat/>
    <w:uiPriority w:val="0"/>
    <w:rPr>
      <w:rFonts w:ascii="黑体" w:eastAsia="黑体"/>
      <w:color w:val="auto"/>
      <w:szCs w:val="20"/>
    </w:rPr>
  </w:style>
  <w:style w:type="paragraph" w:customStyle="1" w:styleId="113">
    <w:name w:val="CM78"/>
    <w:basedOn w:val="56"/>
    <w:next w:val="56"/>
    <w:autoRedefine/>
    <w:qFormat/>
    <w:uiPriority w:val="0"/>
    <w:pPr>
      <w:spacing w:line="480" w:lineRule="atLeast"/>
    </w:pPr>
    <w:rPr>
      <w:rFonts w:ascii="黑体" w:eastAsia="黑体"/>
      <w:color w:val="auto"/>
      <w:szCs w:val="20"/>
    </w:rPr>
  </w:style>
  <w:style w:type="paragraph" w:customStyle="1" w:styleId="114">
    <w:name w:val="CM11"/>
    <w:basedOn w:val="56"/>
    <w:next w:val="56"/>
    <w:autoRedefine/>
    <w:qFormat/>
    <w:uiPriority w:val="0"/>
    <w:pPr>
      <w:spacing w:line="360" w:lineRule="atLeast"/>
    </w:pPr>
    <w:rPr>
      <w:rFonts w:ascii="黑体" w:eastAsia="黑体"/>
      <w:color w:val="auto"/>
      <w:szCs w:val="20"/>
    </w:rPr>
  </w:style>
  <w:style w:type="paragraph" w:customStyle="1" w:styleId="115">
    <w:name w:val="目录文字"/>
    <w:basedOn w:val="1"/>
    <w:autoRedefine/>
    <w:qFormat/>
    <w:uiPriority w:val="0"/>
    <w:pPr>
      <w:widowControl/>
      <w:spacing w:line="480" w:lineRule="auto"/>
      <w:jc w:val="left"/>
    </w:pPr>
    <w:rPr>
      <w:rFonts w:ascii="宋体" w:hAnsi="宋体"/>
      <w:kern w:val="0"/>
      <w:sz w:val="24"/>
      <w:szCs w:val="20"/>
    </w:rPr>
  </w:style>
  <w:style w:type="paragraph" w:customStyle="1" w:styleId="116">
    <w:name w:val="A Text Lieferumfang"/>
    <w:basedOn w:val="1"/>
    <w:link w:val="210"/>
    <w:autoRedefine/>
    <w:qFormat/>
    <w:uiPriority w:val="0"/>
    <w:pPr>
      <w:widowControl/>
      <w:spacing w:after="120"/>
      <w:ind w:left="1134"/>
    </w:pPr>
    <w:rPr>
      <w:rFonts w:ascii="Arial" w:hAnsi="Arial"/>
      <w:lang w:val="de-DE" w:eastAsia="de-DE"/>
    </w:rPr>
  </w:style>
  <w:style w:type="paragraph" w:customStyle="1" w:styleId="117">
    <w:name w:val="Char Char Char Char Char Char Char Char"/>
    <w:basedOn w:val="1"/>
    <w:autoRedefine/>
    <w:qFormat/>
    <w:uiPriority w:val="0"/>
    <w:rPr>
      <w:rFonts w:ascii="宋体"/>
      <w:b/>
      <w:sz w:val="32"/>
      <w:szCs w:val="32"/>
    </w:rPr>
  </w:style>
  <w:style w:type="paragraph" w:customStyle="1" w:styleId="118">
    <w:name w:val="CM7"/>
    <w:basedOn w:val="56"/>
    <w:next w:val="56"/>
    <w:autoRedefine/>
    <w:qFormat/>
    <w:uiPriority w:val="0"/>
    <w:pPr>
      <w:spacing w:line="360" w:lineRule="atLeast"/>
    </w:pPr>
    <w:rPr>
      <w:rFonts w:ascii="黑体" w:eastAsia="黑体"/>
      <w:color w:val="auto"/>
      <w:szCs w:val="20"/>
    </w:rPr>
  </w:style>
  <w:style w:type="paragraph" w:customStyle="1" w:styleId="119">
    <w:name w:val="CM107"/>
    <w:basedOn w:val="56"/>
    <w:next w:val="56"/>
    <w:autoRedefine/>
    <w:qFormat/>
    <w:uiPriority w:val="0"/>
    <w:pPr>
      <w:spacing w:after="1360"/>
    </w:pPr>
    <w:rPr>
      <w:rFonts w:ascii="黑体" w:eastAsia="黑体"/>
      <w:color w:val="auto"/>
      <w:szCs w:val="20"/>
    </w:rPr>
  </w:style>
  <w:style w:type="paragraph" w:customStyle="1" w:styleId="120">
    <w:name w:val="CM31"/>
    <w:basedOn w:val="56"/>
    <w:next w:val="56"/>
    <w:autoRedefine/>
    <w:qFormat/>
    <w:uiPriority w:val="0"/>
    <w:pPr>
      <w:spacing w:line="273" w:lineRule="atLeast"/>
    </w:pPr>
    <w:rPr>
      <w:rFonts w:ascii="黑体" w:eastAsia="黑体"/>
      <w:color w:val="auto"/>
      <w:szCs w:val="20"/>
    </w:rPr>
  </w:style>
  <w:style w:type="paragraph" w:customStyle="1" w:styleId="121">
    <w:name w:val="CM62"/>
    <w:basedOn w:val="56"/>
    <w:next w:val="56"/>
    <w:autoRedefine/>
    <w:qFormat/>
    <w:uiPriority w:val="0"/>
    <w:pPr>
      <w:spacing w:line="273" w:lineRule="atLeast"/>
    </w:pPr>
    <w:rPr>
      <w:rFonts w:ascii="黑体" w:eastAsia="黑体"/>
      <w:color w:val="auto"/>
      <w:szCs w:val="20"/>
    </w:rPr>
  </w:style>
  <w:style w:type="paragraph" w:customStyle="1" w:styleId="122">
    <w:name w:val="Char31"/>
    <w:basedOn w:val="14"/>
    <w:autoRedefine/>
    <w:qFormat/>
    <w:uiPriority w:val="0"/>
    <w:pPr>
      <w:widowControl w:val="0"/>
      <w:jc w:val="both"/>
    </w:pPr>
    <w:rPr>
      <w:kern w:val="2"/>
      <w:sz w:val="21"/>
      <w:szCs w:val="24"/>
    </w:rPr>
  </w:style>
  <w:style w:type="paragraph" w:customStyle="1" w:styleId="123">
    <w:name w:val="CM9"/>
    <w:basedOn w:val="56"/>
    <w:next w:val="56"/>
    <w:autoRedefine/>
    <w:qFormat/>
    <w:uiPriority w:val="0"/>
    <w:pPr>
      <w:spacing w:line="360" w:lineRule="atLeast"/>
    </w:pPr>
    <w:rPr>
      <w:rFonts w:ascii="黑体" w:eastAsia="黑体"/>
      <w:color w:val="auto"/>
      <w:szCs w:val="20"/>
    </w:rPr>
  </w:style>
  <w:style w:type="paragraph" w:customStyle="1" w:styleId="124">
    <w:name w:val="样式1"/>
    <w:basedOn w:val="1"/>
    <w:autoRedefine/>
    <w:qFormat/>
    <w:uiPriority w:val="0"/>
    <w:pPr>
      <w:spacing w:before="120" w:after="120" w:line="300" w:lineRule="auto"/>
    </w:pPr>
    <w:rPr>
      <w:rFonts w:ascii="宋体" w:hAnsi="宋体"/>
      <w:b/>
      <w:sz w:val="24"/>
      <w:szCs w:val="20"/>
    </w:rPr>
  </w:style>
  <w:style w:type="paragraph" w:customStyle="1" w:styleId="125">
    <w:name w:val="CM112"/>
    <w:basedOn w:val="56"/>
    <w:next w:val="56"/>
    <w:autoRedefine/>
    <w:qFormat/>
    <w:uiPriority w:val="0"/>
    <w:pPr>
      <w:spacing w:after="718"/>
    </w:pPr>
    <w:rPr>
      <w:rFonts w:ascii="黑体" w:eastAsia="黑体"/>
      <w:color w:val="auto"/>
      <w:szCs w:val="20"/>
    </w:rPr>
  </w:style>
  <w:style w:type="paragraph" w:customStyle="1" w:styleId="126">
    <w:name w:val="CM77"/>
    <w:basedOn w:val="56"/>
    <w:next w:val="56"/>
    <w:autoRedefine/>
    <w:qFormat/>
    <w:uiPriority w:val="0"/>
    <w:pPr>
      <w:spacing w:line="400" w:lineRule="atLeast"/>
    </w:pPr>
    <w:rPr>
      <w:rFonts w:ascii="黑体" w:eastAsia="黑体"/>
      <w:color w:val="auto"/>
      <w:szCs w:val="20"/>
    </w:rPr>
  </w:style>
  <w:style w:type="paragraph" w:customStyle="1" w:styleId="127">
    <w:name w:val="Char Char Char Char Char Char Char Char1"/>
    <w:basedOn w:val="1"/>
    <w:autoRedefine/>
    <w:qFormat/>
    <w:uiPriority w:val="0"/>
    <w:rPr>
      <w:rFonts w:ascii="宋体"/>
      <w:b/>
      <w:sz w:val="32"/>
      <w:szCs w:val="32"/>
    </w:rPr>
  </w:style>
  <w:style w:type="paragraph" w:customStyle="1" w:styleId="128">
    <w:name w:val="正文2"/>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129">
    <w:name w:val="菲页(卷)"/>
    <w:basedOn w:val="2"/>
    <w:next w:val="128"/>
    <w:autoRedefine/>
    <w:qFormat/>
    <w:uiPriority w:val="0"/>
    <w:pPr>
      <w:keepLines w:val="0"/>
      <w:widowControl/>
      <w:numPr>
        <w:numId w:val="0"/>
      </w:numPr>
      <w:tabs>
        <w:tab w:val="left" w:pos="0"/>
      </w:tabs>
      <w:adjustRightInd/>
      <w:spacing w:before="0" w:after="0" w:line="240" w:lineRule="auto"/>
      <w:ind w:left="737" w:hanging="737"/>
      <w:jc w:val="center"/>
      <w:textAlignment w:val="auto"/>
      <w:outlineLvl w:val="1"/>
    </w:pPr>
    <w:rPr>
      <w:rFonts w:ascii="黑体" w:eastAsia="黑体"/>
      <w:b w:val="0"/>
      <w:kern w:val="0"/>
      <w:sz w:val="52"/>
    </w:rPr>
  </w:style>
  <w:style w:type="paragraph" w:customStyle="1" w:styleId="130">
    <w:name w:val="CM5"/>
    <w:basedOn w:val="56"/>
    <w:next w:val="56"/>
    <w:autoRedefine/>
    <w:qFormat/>
    <w:uiPriority w:val="0"/>
    <w:pPr>
      <w:spacing w:line="360" w:lineRule="atLeast"/>
    </w:pPr>
    <w:rPr>
      <w:rFonts w:ascii="黑体" w:eastAsia="黑体"/>
      <w:color w:val="auto"/>
      <w:szCs w:val="20"/>
    </w:rPr>
  </w:style>
  <w:style w:type="paragraph" w:customStyle="1" w:styleId="131">
    <w:name w:val="CM83"/>
    <w:basedOn w:val="56"/>
    <w:next w:val="56"/>
    <w:autoRedefine/>
    <w:qFormat/>
    <w:uiPriority w:val="0"/>
    <w:pPr>
      <w:spacing w:line="400" w:lineRule="atLeast"/>
    </w:pPr>
    <w:rPr>
      <w:rFonts w:ascii="黑体" w:eastAsia="黑体"/>
      <w:color w:val="auto"/>
      <w:szCs w:val="20"/>
    </w:rPr>
  </w:style>
  <w:style w:type="paragraph" w:customStyle="1" w:styleId="132">
    <w:name w:val="CM56"/>
    <w:basedOn w:val="56"/>
    <w:next w:val="56"/>
    <w:autoRedefine/>
    <w:qFormat/>
    <w:uiPriority w:val="0"/>
    <w:pPr>
      <w:spacing w:line="273" w:lineRule="atLeast"/>
    </w:pPr>
    <w:rPr>
      <w:rFonts w:ascii="黑体" w:eastAsia="黑体"/>
      <w:color w:val="auto"/>
      <w:szCs w:val="20"/>
    </w:rPr>
  </w:style>
  <w:style w:type="paragraph" w:customStyle="1" w:styleId="133">
    <w:name w:val="样式 三级条标题 + 行距: 固定值 22 磅"/>
    <w:basedOn w:val="1"/>
    <w:autoRedefine/>
    <w:qFormat/>
    <w:uiPriority w:val="0"/>
    <w:pPr>
      <w:widowControl/>
      <w:spacing w:line="440" w:lineRule="exact"/>
      <w:jc w:val="left"/>
      <w:outlineLvl w:val="4"/>
    </w:pPr>
    <w:rPr>
      <w:rFonts w:ascii="黑体" w:hAnsi="宋体" w:cs="宋体"/>
      <w:kern w:val="0"/>
      <w:sz w:val="24"/>
      <w:szCs w:val="20"/>
    </w:rPr>
  </w:style>
  <w:style w:type="paragraph" w:customStyle="1" w:styleId="134">
    <w:name w:val="CM64"/>
    <w:basedOn w:val="56"/>
    <w:next w:val="56"/>
    <w:autoRedefine/>
    <w:qFormat/>
    <w:uiPriority w:val="0"/>
    <w:rPr>
      <w:rFonts w:ascii="黑体" w:eastAsia="黑体"/>
      <w:color w:val="auto"/>
      <w:szCs w:val="20"/>
    </w:rPr>
  </w:style>
  <w:style w:type="paragraph" w:customStyle="1" w:styleId="135">
    <w:name w:val="CM63"/>
    <w:basedOn w:val="56"/>
    <w:next w:val="56"/>
    <w:autoRedefine/>
    <w:qFormat/>
    <w:uiPriority w:val="0"/>
    <w:pPr>
      <w:spacing w:line="273" w:lineRule="atLeast"/>
    </w:pPr>
    <w:rPr>
      <w:rFonts w:ascii="黑体" w:eastAsia="黑体"/>
      <w:color w:val="auto"/>
      <w:szCs w:val="20"/>
    </w:rPr>
  </w:style>
  <w:style w:type="paragraph" w:customStyle="1" w:styleId="136">
    <w:name w:val="CM98"/>
    <w:basedOn w:val="56"/>
    <w:next w:val="56"/>
    <w:autoRedefine/>
    <w:qFormat/>
    <w:uiPriority w:val="0"/>
    <w:pPr>
      <w:spacing w:after="378"/>
    </w:pPr>
    <w:rPr>
      <w:rFonts w:ascii="黑体" w:eastAsia="黑体"/>
      <w:color w:val="auto"/>
      <w:szCs w:val="20"/>
    </w:rPr>
  </w:style>
  <w:style w:type="paragraph" w:customStyle="1" w:styleId="137">
    <w:name w:val="CM65"/>
    <w:basedOn w:val="56"/>
    <w:next w:val="56"/>
    <w:autoRedefine/>
    <w:qFormat/>
    <w:uiPriority w:val="0"/>
    <w:pPr>
      <w:spacing w:line="273" w:lineRule="atLeast"/>
    </w:pPr>
    <w:rPr>
      <w:rFonts w:ascii="黑体" w:eastAsia="黑体"/>
      <w:color w:val="auto"/>
      <w:szCs w:val="20"/>
    </w:rPr>
  </w:style>
  <w:style w:type="paragraph" w:customStyle="1" w:styleId="138">
    <w:name w:val="CM74"/>
    <w:basedOn w:val="56"/>
    <w:next w:val="56"/>
    <w:autoRedefine/>
    <w:qFormat/>
    <w:uiPriority w:val="0"/>
    <w:pPr>
      <w:spacing w:line="400" w:lineRule="atLeast"/>
    </w:pPr>
    <w:rPr>
      <w:rFonts w:ascii="黑体" w:eastAsia="黑体"/>
      <w:color w:val="auto"/>
      <w:szCs w:val="20"/>
    </w:rPr>
  </w:style>
  <w:style w:type="paragraph" w:customStyle="1" w:styleId="139">
    <w:name w:val="CM106"/>
    <w:basedOn w:val="56"/>
    <w:next w:val="56"/>
    <w:autoRedefine/>
    <w:qFormat/>
    <w:uiPriority w:val="0"/>
    <w:pPr>
      <w:spacing w:after="57"/>
    </w:pPr>
    <w:rPr>
      <w:rFonts w:ascii="黑体" w:eastAsia="黑体"/>
      <w:color w:val="auto"/>
      <w:szCs w:val="20"/>
    </w:rPr>
  </w:style>
  <w:style w:type="paragraph" w:customStyle="1" w:styleId="140">
    <w:name w:val="CM94"/>
    <w:basedOn w:val="56"/>
    <w:next w:val="56"/>
    <w:autoRedefine/>
    <w:qFormat/>
    <w:uiPriority w:val="0"/>
    <w:pPr>
      <w:spacing w:after="548"/>
    </w:pPr>
    <w:rPr>
      <w:rFonts w:ascii="黑体" w:eastAsia="黑体"/>
      <w:color w:val="auto"/>
      <w:szCs w:val="20"/>
    </w:rPr>
  </w:style>
  <w:style w:type="paragraph" w:customStyle="1" w:styleId="141">
    <w:name w:val="列出段落1"/>
    <w:basedOn w:val="1"/>
    <w:autoRedefine/>
    <w:qFormat/>
    <w:uiPriority w:val="34"/>
    <w:pPr>
      <w:ind w:firstLine="420" w:firstLineChars="200"/>
    </w:pPr>
    <w:rPr>
      <w:rFonts w:ascii="Calibri" w:hAnsi="Calibri"/>
      <w:szCs w:val="22"/>
    </w:rPr>
  </w:style>
  <w:style w:type="paragraph" w:customStyle="1" w:styleId="142">
    <w:name w:val="Char Char Char Char1"/>
    <w:basedOn w:val="14"/>
    <w:autoRedefine/>
    <w:qFormat/>
    <w:uiPriority w:val="0"/>
    <w:pPr>
      <w:adjustRightInd w:val="0"/>
      <w:snapToGrid w:val="0"/>
      <w:spacing w:line="360" w:lineRule="auto"/>
    </w:pPr>
    <w:rPr>
      <w:rFonts w:ascii="Tahoma" w:hAnsi="Tahoma" w:cs="宋体"/>
      <w:sz w:val="24"/>
      <w:szCs w:val="24"/>
    </w:rPr>
  </w:style>
  <w:style w:type="paragraph" w:customStyle="1" w:styleId="143">
    <w:name w:val="CM17"/>
    <w:basedOn w:val="56"/>
    <w:next w:val="56"/>
    <w:autoRedefine/>
    <w:qFormat/>
    <w:uiPriority w:val="0"/>
    <w:pPr>
      <w:spacing w:line="273" w:lineRule="atLeast"/>
    </w:pPr>
    <w:rPr>
      <w:rFonts w:ascii="黑体" w:eastAsia="黑体"/>
      <w:color w:val="auto"/>
      <w:szCs w:val="20"/>
    </w:rPr>
  </w:style>
  <w:style w:type="paragraph" w:customStyle="1" w:styleId="144">
    <w:name w:val="CM19"/>
    <w:basedOn w:val="56"/>
    <w:next w:val="56"/>
    <w:autoRedefine/>
    <w:qFormat/>
    <w:uiPriority w:val="0"/>
    <w:pPr>
      <w:spacing w:line="273" w:lineRule="atLeast"/>
    </w:pPr>
    <w:rPr>
      <w:rFonts w:ascii="黑体" w:eastAsia="黑体"/>
      <w:color w:val="auto"/>
      <w:szCs w:val="20"/>
    </w:rPr>
  </w:style>
  <w:style w:type="paragraph" w:customStyle="1" w:styleId="145">
    <w:name w:val="Char Char1"/>
    <w:basedOn w:val="1"/>
    <w:autoRedefine/>
    <w:qFormat/>
    <w:uiPriority w:val="0"/>
  </w:style>
  <w:style w:type="paragraph" w:customStyle="1" w:styleId="146">
    <w:name w:val="默认段落字体 Para Char Char Char1 Char"/>
    <w:basedOn w:val="1"/>
    <w:autoRedefine/>
    <w:qFormat/>
    <w:uiPriority w:val="0"/>
    <w:pPr>
      <w:spacing w:line="360" w:lineRule="auto"/>
      <w:ind w:left="420" w:firstLine="420"/>
    </w:pPr>
    <w:rPr>
      <w:kern w:val="0"/>
      <w:sz w:val="24"/>
      <w:szCs w:val="21"/>
    </w:rPr>
  </w:style>
  <w:style w:type="paragraph" w:customStyle="1" w:styleId="147">
    <w:name w:val="CM34"/>
    <w:basedOn w:val="56"/>
    <w:next w:val="56"/>
    <w:autoRedefine/>
    <w:qFormat/>
    <w:uiPriority w:val="0"/>
    <w:pPr>
      <w:spacing w:line="273" w:lineRule="atLeast"/>
    </w:pPr>
    <w:rPr>
      <w:rFonts w:ascii="黑体" w:eastAsia="黑体"/>
      <w:color w:val="auto"/>
      <w:szCs w:val="20"/>
    </w:rPr>
  </w:style>
  <w:style w:type="paragraph" w:customStyle="1" w:styleId="148">
    <w:name w:val="CM84"/>
    <w:basedOn w:val="56"/>
    <w:next w:val="56"/>
    <w:autoRedefine/>
    <w:qFormat/>
    <w:uiPriority w:val="0"/>
    <w:pPr>
      <w:spacing w:line="320" w:lineRule="atLeast"/>
    </w:pPr>
    <w:rPr>
      <w:rFonts w:ascii="黑体" w:eastAsia="黑体"/>
      <w:color w:val="auto"/>
      <w:szCs w:val="20"/>
    </w:rPr>
  </w:style>
  <w:style w:type="paragraph" w:customStyle="1" w:styleId="149">
    <w:name w:val="CM105"/>
    <w:basedOn w:val="56"/>
    <w:next w:val="56"/>
    <w:autoRedefine/>
    <w:qFormat/>
    <w:uiPriority w:val="0"/>
    <w:pPr>
      <w:spacing w:after="328"/>
    </w:pPr>
    <w:rPr>
      <w:rFonts w:ascii="黑体" w:eastAsia="黑体"/>
      <w:color w:val="auto"/>
      <w:szCs w:val="20"/>
    </w:rPr>
  </w:style>
  <w:style w:type="paragraph" w:customStyle="1" w:styleId="150">
    <w:name w:val="CM108"/>
    <w:basedOn w:val="56"/>
    <w:next w:val="56"/>
    <w:autoRedefine/>
    <w:qFormat/>
    <w:uiPriority w:val="0"/>
    <w:pPr>
      <w:spacing w:after="1203"/>
    </w:pPr>
    <w:rPr>
      <w:rFonts w:ascii="黑体" w:eastAsia="黑体"/>
      <w:color w:val="auto"/>
      <w:szCs w:val="20"/>
    </w:rPr>
  </w:style>
  <w:style w:type="paragraph" w:customStyle="1" w:styleId="151">
    <w:name w:val="CM37"/>
    <w:basedOn w:val="56"/>
    <w:next w:val="56"/>
    <w:autoRedefine/>
    <w:qFormat/>
    <w:uiPriority w:val="0"/>
    <w:pPr>
      <w:spacing w:line="273" w:lineRule="atLeast"/>
    </w:pPr>
    <w:rPr>
      <w:rFonts w:ascii="黑体" w:eastAsia="黑体"/>
      <w:color w:val="auto"/>
      <w:szCs w:val="20"/>
    </w:rPr>
  </w:style>
  <w:style w:type="paragraph" w:customStyle="1" w:styleId="152">
    <w:name w:val="body"/>
    <w:basedOn w:val="1"/>
    <w:autoRedefine/>
    <w:qFormat/>
    <w:uiPriority w:val="0"/>
    <w:pPr>
      <w:widowControl/>
      <w:spacing w:before="240"/>
    </w:pPr>
    <w:rPr>
      <w:rFonts w:ascii="宋体" w:hAnsi="宋体"/>
      <w:kern w:val="0"/>
      <w:sz w:val="24"/>
      <w:szCs w:val="20"/>
      <w:lang w:eastAsia="en-US"/>
    </w:rPr>
  </w:style>
  <w:style w:type="paragraph" w:customStyle="1" w:styleId="153">
    <w:name w:val="目录"/>
    <w:basedOn w:val="1"/>
    <w:autoRedefine/>
    <w:qFormat/>
    <w:uiPriority w:val="0"/>
    <w:pPr>
      <w:widowControl/>
      <w:jc w:val="center"/>
    </w:pPr>
    <w:rPr>
      <w:rFonts w:ascii="宋体"/>
      <w:b/>
      <w:kern w:val="0"/>
      <w:sz w:val="36"/>
      <w:szCs w:val="20"/>
    </w:rPr>
  </w:style>
  <w:style w:type="paragraph" w:customStyle="1" w:styleId="154">
    <w:name w:val="CM68"/>
    <w:basedOn w:val="56"/>
    <w:next w:val="56"/>
    <w:autoRedefine/>
    <w:qFormat/>
    <w:uiPriority w:val="0"/>
    <w:pPr>
      <w:spacing w:line="403" w:lineRule="atLeast"/>
    </w:pPr>
    <w:rPr>
      <w:rFonts w:ascii="黑体" w:eastAsia="黑体"/>
      <w:color w:val="auto"/>
      <w:szCs w:val="20"/>
    </w:rPr>
  </w:style>
  <w:style w:type="paragraph" w:customStyle="1" w:styleId="155">
    <w:name w:val="CM99"/>
    <w:basedOn w:val="56"/>
    <w:next w:val="56"/>
    <w:autoRedefine/>
    <w:qFormat/>
    <w:uiPriority w:val="0"/>
    <w:pPr>
      <w:spacing w:after="803"/>
    </w:pPr>
    <w:rPr>
      <w:rFonts w:ascii="黑体" w:eastAsia="黑体"/>
      <w:color w:val="auto"/>
      <w:szCs w:val="20"/>
    </w:rPr>
  </w:style>
  <w:style w:type="paragraph" w:customStyle="1" w:styleId="156">
    <w:name w:val="CM79"/>
    <w:basedOn w:val="56"/>
    <w:next w:val="56"/>
    <w:autoRedefine/>
    <w:qFormat/>
    <w:uiPriority w:val="0"/>
    <w:pPr>
      <w:spacing w:line="480" w:lineRule="atLeast"/>
    </w:pPr>
    <w:rPr>
      <w:rFonts w:ascii="黑体" w:eastAsia="黑体"/>
      <w:color w:val="auto"/>
      <w:szCs w:val="20"/>
    </w:rPr>
  </w:style>
  <w:style w:type="paragraph" w:customStyle="1" w:styleId="157">
    <w:name w:val="CM57"/>
    <w:basedOn w:val="56"/>
    <w:next w:val="56"/>
    <w:autoRedefine/>
    <w:qFormat/>
    <w:uiPriority w:val="0"/>
    <w:pPr>
      <w:spacing w:line="273" w:lineRule="atLeast"/>
    </w:pPr>
    <w:rPr>
      <w:rFonts w:ascii="黑体" w:eastAsia="黑体"/>
      <w:color w:val="auto"/>
      <w:szCs w:val="20"/>
    </w:rPr>
  </w:style>
  <w:style w:type="paragraph" w:customStyle="1" w:styleId="158">
    <w:name w:val="CM35"/>
    <w:basedOn w:val="56"/>
    <w:next w:val="56"/>
    <w:autoRedefine/>
    <w:qFormat/>
    <w:uiPriority w:val="0"/>
    <w:pPr>
      <w:spacing w:line="273" w:lineRule="atLeast"/>
    </w:pPr>
    <w:rPr>
      <w:rFonts w:ascii="黑体" w:eastAsia="黑体"/>
      <w:color w:val="auto"/>
      <w:szCs w:val="20"/>
    </w:rPr>
  </w:style>
  <w:style w:type="paragraph" w:customStyle="1" w:styleId="159">
    <w:name w:val="STANDARD 2"/>
    <w:basedOn w:val="1"/>
    <w:autoRedefine/>
    <w:qFormat/>
    <w:uiPriority w:val="0"/>
    <w:pPr>
      <w:widowControl/>
      <w:ind w:left="1020"/>
      <w:jc w:val="left"/>
    </w:pPr>
    <w:rPr>
      <w:rFonts w:ascii="宋体" w:hAnsi="宋体" w:cs="宋体"/>
      <w:kern w:val="0"/>
      <w:sz w:val="24"/>
      <w:szCs w:val="20"/>
      <w:lang w:val="fr-FR" w:eastAsia="en-US"/>
    </w:rPr>
  </w:style>
  <w:style w:type="paragraph" w:customStyle="1" w:styleId="160">
    <w:name w:val="CM85"/>
    <w:basedOn w:val="56"/>
    <w:next w:val="56"/>
    <w:autoRedefine/>
    <w:qFormat/>
    <w:uiPriority w:val="0"/>
    <w:pPr>
      <w:spacing w:line="320" w:lineRule="atLeast"/>
    </w:pPr>
    <w:rPr>
      <w:rFonts w:ascii="黑体" w:eastAsia="黑体"/>
      <w:color w:val="auto"/>
      <w:szCs w:val="20"/>
    </w:rPr>
  </w:style>
  <w:style w:type="paragraph" w:customStyle="1" w:styleId="161">
    <w:name w:val="CM39"/>
    <w:basedOn w:val="56"/>
    <w:next w:val="56"/>
    <w:autoRedefine/>
    <w:qFormat/>
    <w:uiPriority w:val="0"/>
    <w:pPr>
      <w:spacing w:line="273" w:lineRule="atLeast"/>
    </w:pPr>
    <w:rPr>
      <w:rFonts w:ascii="黑体" w:eastAsia="黑体"/>
      <w:color w:val="auto"/>
      <w:szCs w:val="20"/>
    </w:rPr>
  </w:style>
  <w:style w:type="paragraph" w:customStyle="1" w:styleId="162">
    <w:name w:val="CM44"/>
    <w:basedOn w:val="56"/>
    <w:next w:val="56"/>
    <w:autoRedefine/>
    <w:qFormat/>
    <w:uiPriority w:val="0"/>
    <w:pPr>
      <w:spacing w:line="273" w:lineRule="atLeast"/>
    </w:pPr>
    <w:rPr>
      <w:rFonts w:ascii="黑体" w:eastAsia="黑体"/>
      <w:color w:val="auto"/>
      <w:szCs w:val="20"/>
    </w:rPr>
  </w:style>
  <w:style w:type="paragraph" w:customStyle="1" w:styleId="163">
    <w:name w:val="CM76"/>
    <w:basedOn w:val="56"/>
    <w:next w:val="56"/>
    <w:autoRedefine/>
    <w:qFormat/>
    <w:uiPriority w:val="0"/>
    <w:pPr>
      <w:spacing w:line="400" w:lineRule="atLeast"/>
    </w:pPr>
    <w:rPr>
      <w:rFonts w:ascii="黑体" w:eastAsia="黑体"/>
      <w:color w:val="auto"/>
      <w:szCs w:val="20"/>
    </w:rPr>
  </w:style>
  <w:style w:type="paragraph" w:customStyle="1" w:styleId="164">
    <w:name w:val="Char Char1 Char"/>
    <w:basedOn w:val="1"/>
    <w:autoRedefine/>
    <w:qFormat/>
    <w:uiPriority w:val="0"/>
    <w:rPr>
      <w:rFonts w:ascii="Tahoma" w:hAnsi="Tahoma"/>
      <w:sz w:val="24"/>
    </w:rPr>
  </w:style>
  <w:style w:type="paragraph" w:customStyle="1" w:styleId="165">
    <w:name w:val="CM96"/>
    <w:basedOn w:val="56"/>
    <w:next w:val="56"/>
    <w:autoRedefine/>
    <w:qFormat/>
    <w:uiPriority w:val="0"/>
    <w:pPr>
      <w:spacing w:after="455"/>
    </w:pPr>
    <w:rPr>
      <w:rFonts w:ascii="黑体" w:eastAsia="黑体"/>
      <w:color w:val="auto"/>
      <w:szCs w:val="20"/>
    </w:rPr>
  </w:style>
  <w:style w:type="paragraph" w:customStyle="1" w:styleId="166">
    <w:name w:val="List Paragraph1"/>
    <w:basedOn w:val="1"/>
    <w:autoRedefine/>
    <w:qFormat/>
    <w:uiPriority w:val="34"/>
    <w:pPr>
      <w:ind w:firstLine="420" w:firstLineChars="200"/>
    </w:pPr>
    <w:rPr>
      <w:rFonts w:ascii="Calibri" w:hAnsi="Calibri"/>
      <w:szCs w:val="22"/>
    </w:rPr>
  </w:style>
  <w:style w:type="paragraph" w:customStyle="1" w:styleId="167">
    <w:name w:val="_Style 112"/>
    <w:basedOn w:val="1"/>
    <w:autoRedefine/>
    <w:qFormat/>
    <w:uiPriority w:val="0"/>
    <w:rPr>
      <w:rFonts w:ascii="宋体"/>
      <w:b/>
      <w:sz w:val="32"/>
      <w:szCs w:val="32"/>
    </w:rPr>
  </w:style>
  <w:style w:type="paragraph" w:customStyle="1" w:styleId="168">
    <w:name w:val="样式 标题 2 + 楷体_GB2312 小四"/>
    <w:basedOn w:val="3"/>
    <w:autoRedefine/>
    <w:qFormat/>
    <w:uiPriority w:val="0"/>
    <w:pPr>
      <w:widowControl/>
      <w:adjustRightInd/>
      <w:spacing w:line="416" w:lineRule="auto"/>
      <w:jc w:val="left"/>
      <w:textAlignment w:val="auto"/>
    </w:pPr>
    <w:rPr>
      <w:rFonts w:ascii="宋体" w:hAnsi="宋体" w:cs="宋体"/>
      <w:bCs/>
      <w:sz w:val="24"/>
    </w:rPr>
  </w:style>
  <w:style w:type="paragraph" w:customStyle="1" w:styleId="169">
    <w:name w:val="CM113"/>
    <w:basedOn w:val="56"/>
    <w:next w:val="56"/>
    <w:autoRedefine/>
    <w:qFormat/>
    <w:uiPriority w:val="0"/>
    <w:pPr>
      <w:spacing w:after="1143"/>
    </w:pPr>
    <w:rPr>
      <w:rFonts w:ascii="黑体" w:eastAsia="黑体"/>
      <w:color w:val="auto"/>
      <w:szCs w:val="20"/>
    </w:rPr>
  </w:style>
  <w:style w:type="paragraph" w:customStyle="1" w:styleId="170">
    <w:name w:val="Char"/>
    <w:basedOn w:val="1"/>
    <w:autoRedefine/>
    <w:qFormat/>
    <w:uiPriority w:val="0"/>
    <w:pPr>
      <w:spacing w:line="360" w:lineRule="auto"/>
      <w:ind w:left="538" w:leftChars="256" w:right="100" w:rightChars="100" w:firstLine="1"/>
    </w:pPr>
    <w:rPr>
      <w:kern w:val="0"/>
      <w:sz w:val="20"/>
      <w:szCs w:val="20"/>
    </w:rPr>
  </w:style>
  <w:style w:type="paragraph" w:customStyle="1" w:styleId="171">
    <w:name w:val="菲页1"/>
    <w:basedOn w:val="3"/>
    <w:autoRedefine/>
    <w:qFormat/>
    <w:uiPriority w:val="0"/>
    <w:pPr>
      <w:widowControl/>
      <w:adjustRightInd/>
      <w:spacing w:before="120" w:after="120" w:line="420" w:lineRule="exact"/>
      <w:ind w:left="146" w:leftChars="73" w:firstLine="154" w:firstLineChars="48"/>
      <w:jc w:val="center"/>
      <w:textAlignment w:val="auto"/>
    </w:pPr>
    <w:rPr>
      <w:rFonts w:ascii="黑体" w:hAnsi="宋体"/>
      <w:sz w:val="52"/>
      <w:szCs w:val="32"/>
    </w:rPr>
  </w:style>
  <w:style w:type="paragraph" w:customStyle="1" w:styleId="172">
    <w:name w:val="Char Char1 Char Char Char Char Char Char Char Char1"/>
    <w:basedOn w:val="1"/>
    <w:autoRedefine/>
    <w:qFormat/>
    <w:uiPriority w:val="0"/>
    <w:rPr>
      <w:rFonts w:ascii="宋体"/>
      <w:b/>
      <w:sz w:val="32"/>
      <w:szCs w:val="32"/>
    </w:rPr>
  </w:style>
  <w:style w:type="paragraph" w:customStyle="1" w:styleId="173">
    <w:name w:val="CM89"/>
    <w:basedOn w:val="56"/>
    <w:next w:val="56"/>
    <w:autoRedefine/>
    <w:qFormat/>
    <w:uiPriority w:val="0"/>
    <w:pPr>
      <w:spacing w:line="400" w:lineRule="atLeast"/>
    </w:pPr>
    <w:rPr>
      <w:rFonts w:ascii="黑体" w:eastAsia="黑体"/>
      <w:color w:val="auto"/>
      <w:szCs w:val="20"/>
    </w:rPr>
  </w:style>
  <w:style w:type="paragraph" w:customStyle="1" w:styleId="174">
    <w:name w:val="CM22"/>
    <w:basedOn w:val="56"/>
    <w:next w:val="56"/>
    <w:autoRedefine/>
    <w:qFormat/>
    <w:uiPriority w:val="0"/>
    <w:pPr>
      <w:spacing w:line="273" w:lineRule="atLeast"/>
    </w:pPr>
    <w:rPr>
      <w:rFonts w:ascii="黑体" w:eastAsia="黑体"/>
      <w:color w:val="auto"/>
      <w:szCs w:val="20"/>
    </w:rPr>
  </w:style>
  <w:style w:type="paragraph" w:customStyle="1" w:styleId="175">
    <w:name w:val="Char Char1 Char1"/>
    <w:basedOn w:val="1"/>
    <w:autoRedefine/>
    <w:qFormat/>
    <w:uiPriority w:val="0"/>
    <w:rPr>
      <w:rFonts w:ascii="Tahoma" w:hAnsi="Tahoma"/>
      <w:sz w:val="24"/>
    </w:rPr>
  </w:style>
  <w:style w:type="paragraph" w:customStyle="1" w:styleId="176">
    <w:name w:val="CM33"/>
    <w:basedOn w:val="56"/>
    <w:next w:val="56"/>
    <w:autoRedefine/>
    <w:qFormat/>
    <w:uiPriority w:val="0"/>
    <w:rPr>
      <w:rFonts w:ascii="黑体" w:eastAsia="黑体"/>
      <w:color w:val="auto"/>
      <w:szCs w:val="20"/>
    </w:rPr>
  </w:style>
  <w:style w:type="paragraph" w:customStyle="1" w:styleId="177">
    <w:name w:val="标题4"/>
    <w:basedOn w:val="1"/>
    <w:autoRedefine/>
    <w:qFormat/>
    <w:uiPriority w:val="0"/>
    <w:pPr>
      <w:widowControl/>
      <w:ind w:left="-93" w:firstLine="91" w:firstLineChars="38"/>
      <w:jc w:val="left"/>
    </w:pPr>
    <w:rPr>
      <w:rFonts w:ascii="宋体" w:hAnsi="宋体" w:cs="宋体"/>
      <w:kern w:val="0"/>
      <w:sz w:val="24"/>
    </w:rPr>
  </w:style>
  <w:style w:type="paragraph" w:customStyle="1" w:styleId="178">
    <w:name w:val="Char Char Char Char Char1"/>
    <w:basedOn w:val="1"/>
    <w:autoRedefine/>
    <w:qFormat/>
    <w:uiPriority w:val="0"/>
    <w:rPr>
      <w:rFonts w:ascii="Tahoma" w:hAnsi="Tahoma"/>
      <w:sz w:val="24"/>
      <w:szCs w:val="20"/>
    </w:rPr>
  </w:style>
  <w:style w:type="paragraph" w:customStyle="1" w:styleId="179">
    <w:name w:val="Char1"/>
    <w:basedOn w:val="1"/>
    <w:autoRedefine/>
    <w:qFormat/>
    <w:uiPriority w:val="0"/>
    <w:pPr>
      <w:spacing w:line="360" w:lineRule="auto"/>
      <w:ind w:left="360" w:right="100" w:rightChars="100" w:hanging="360"/>
    </w:pPr>
    <w:rPr>
      <w:rFonts w:ascii="宋体" w:hAnsi="Tahoma"/>
      <w:sz w:val="24"/>
    </w:rPr>
  </w:style>
  <w:style w:type="paragraph" w:styleId="180">
    <w:name w:val="List Paragraph"/>
    <w:basedOn w:val="1"/>
    <w:autoRedefine/>
    <w:qFormat/>
    <w:uiPriority w:val="0"/>
    <w:pPr>
      <w:spacing w:line="240" w:lineRule="atLeast"/>
      <w:ind w:firstLine="420" w:firstLineChars="200"/>
    </w:pPr>
    <w:rPr>
      <w:rFonts w:ascii="Calibri" w:hAnsi="Calibri"/>
      <w:szCs w:val="22"/>
    </w:rPr>
  </w:style>
  <w:style w:type="paragraph" w:customStyle="1" w:styleId="181">
    <w:name w:val="CM104"/>
    <w:basedOn w:val="56"/>
    <w:next w:val="56"/>
    <w:autoRedefine/>
    <w:qFormat/>
    <w:uiPriority w:val="0"/>
    <w:pPr>
      <w:spacing w:after="180"/>
    </w:pPr>
    <w:rPr>
      <w:rFonts w:ascii="黑体" w:eastAsia="黑体"/>
      <w:color w:val="auto"/>
      <w:szCs w:val="20"/>
    </w:rPr>
  </w:style>
  <w:style w:type="character" w:customStyle="1" w:styleId="182">
    <w:name w:val="批注框文本 字符"/>
    <w:link w:val="30"/>
    <w:autoRedefine/>
    <w:qFormat/>
    <w:uiPriority w:val="0"/>
    <w:rPr>
      <w:sz w:val="18"/>
      <w:szCs w:val="18"/>
    </w:rPr>
  </w:style>
  <w:style w:type="character" w:customStyle="1" w:styleId="183">
    <w:name w:val="标题 3 字符"/>
    <w:link w:val="4"/>
    <w:autoRedefine/>
    <w:qFormat/>
    <w:uiPriority w:val="0"/>
    <w:rPr>
      <w:rFonts w:ascii="宋体" w:hAnsi="宋体"/>
      <w:b/>
      <w:sz w:val="24"/>
    </w:rPr>
  </w:style>
  <w:style w:type="character" w:customStyle="1" w:styleId="184">
    <w:name w:val="Para head"/>
    <w:autoRedefine/>
    <w:qFormat/>
    <w:uiPriority w:val="0"/>
    <w:rPr>
      <w:rFonts w:ascii="Arial" w:hAnsi="Arial" w:eastAsia="Times New Roman"/>
      <w:sz w:val="20"/>
    </w:rPr>
  </w:style>
  <w:style w:type="character" w:customStyle="1" w:styleId="185">
    <w:name w:val="尾注文本 Char1"/>
    <w:autoRedefine/>
    <w:qFormat/>
    <w:uiPriority w:val="0"/>
    <w:rPr>
      <w:kern w:val="2"/>
      <w:sz w:val="21"/>
      <w:szCs w:val="24"/>
    </w:rPr>
  </w:style>
  <w:style w:type="character" w:customStyle="1" w:styleId="186">
    <w:name w:val="3zw1"/>
    <w:autoRedefine/>
    <w:qFormat/>
    <w:uiPriority w:val="0"/>
    <w:rPr>
      <w:color w:val="000000"/>
      <w:sz w:val="21"/>
      <w:szCs w:val="21"/>
    </w:rPr>
  </w:style>
  <w:style w:type="character" w:customStyle="1" w:styleId="187">
    <w:name w:val="标题 7 字符"/>
    <w:link w:val="8"/>
    <w:autoRedefine/>
    <w:qFormat/>
    <w:uiPriority w:val="0"/>
    <w:rPr>
      <w:rFonts w:ascii="Times New Roman" w:hAnsi="Times New Roman"/>
      <w:b/>
      <w:sz w:val="24"/>
    </w:rPr>
  </w:style>
  <w:style w:type="character" w:customStyle="1" w:styleId="188">
    <w:name w:val="正文文本缩进 2 字符"/>
    <w:link w:val="28"/>
    <w:autoRedefine/>
    <w:qFormat/>
    <w:uiPriority w:val="0"/>
    <w:rPr>
      <w:rFonts w:ascii="宋体" w:hAnsi="宋体"/>
      <w:spacing w:val="4"/>
      <w:kern w:val="2"/>
      <w:sz w:val="21"/>
      <w:szCs w:val="24"/>
    </w:rPr>
  </w:style>
  <w:style w:type="character" w:customStyle="1" w:styleId="189">
    <w:name w:val="标题 6 字符"/>
    <w:link w:val="7"/>
    <w:autoRedefine/>
    <w:qFormat/>
    <w:uiPriority w:val="0"/>
    <w:rPr>
      <w:rFonts w:ascii="Arial" w:hAnsi="Arial" w:eastAsia="黑体"/>
      <w:b/>
      <w:sz w:val="24"/>
    </w:rPr>
  </w:style>
  <w:style w:type="character" w:customStyle="1" w:styleId="190">
    <w:name w:val="样式 宋体 灰色-80% Char"/>
    <w:link w:val="75"/>
    <w:autoRedefine/>
    <w:qFormat/>
    <w:uiPriority w:val="0"/>
    <w:rPr>
      <w:rFonts w:ascii="宋体" w:hAnsi="宋体"/>
      <w:b/>
      <w:bCs/>
      <w:color w:val="333333"/>
      <w:kern w:val="44"/>
      <w:sz w:val="44"/>
      <w:szCs w:val="21"/>
    </w:rPr>
  </w:style>
  <w:style w:type="character" w:customStyle="1" w:styleId="191">
    <w:name w:val="正文文本 3 字符"/>
    <w:link w:val="17"/>
    <w:autoRedefine/>
    <w:qFormat/>
    <w:uiPriority w:val="0"/>
    <w:rPr>
      <w:kern w:val="2"/>
      <w:sz w:val="16"/>
      <w:szCs w:val="16"/>
    </w:rPr>
  </w:style>
  <w:style w:type="character" w:customStyle="1" w:styleId="192">
    <w:name w:val="纯文本 Char1"/>
    <w:autoRedefine/>
    <w:qFormat/>
    <w:uiPriority w:val="0"/>
    <w:rPr>
      <w:rFonts w:ascii="宋体" w:hAnsi="Courier New" w:cs="Courier New"/>
      <w:kern w:val="2"/>
      <w:sz w:val="21"/>
      <w:szCs w:val="21"/>
    </w:rPr>
  </w:style>
  <w:style w:type="character" w:customStyle="1" w:styleId="193">
    <w:name w:val="称呼 字符"/>
    <w:link w:val="16"/>
    <w:autoRedefine/>
    <w:qFormat/>
    <w:uiPriority w:val="0"/>
    <w:rPr>
      <w:kern w:val="2"/>
      <w:sz w:val="28"/>
      <w:szCs w:val="24"/>
    </w:rPr>
  </w:style>
  <w:style w:type="character" w:customStyle="1" w:styleId="194">
    <w:name w:val="标题 2 字符"/>
    <w:link w:val="3"/>
    <w:autoRedefine/>
    <w:qFormat/>
    <w:uiPriority w:val="0"/>
    <w:rPr>
      <w:rFonts w:ascii="Arial" w:hAnsi="Arial"/>
      <w:b/>
      <w:sz w:val="30"/>
    </w:rPr>
  </w:style>
  <w:style w:type="character" w:customStyle="1" w:styleId="195">
    <w:name w:val="日期 字符"/>
    <w:link w:val="27"/>
    <w:autoRedefine/>
    <w:qFormat/>
    <w:uiPriority w:val="0"/>
    <w:rPr>
      <w:b/>
      <w:sz w:val="28"/>
    </w:rPr>
  </w:style>
  <w:style w:type="character" w:customStyle="1" w:styleId="196">
    <w:name w:val="标题 9 字符"/>
    <w:link w:val="10"/>
    <w:autoRedefine/>
    <w:qFormat/>
    <w:uiPriority w:val="0"/>
    <w:rPr>
      <w:rFonts w:ascii="Arial" w:hAnsi="Arial" w:eastAsia="黑体"/>
      <w:sz w:val="21"/>
    </w:rPr>
  </w:style>
  <w:style w:type="character" w:customStyle="1" w:styleId="197">
    <w:name w:val="纯文本 字符"/>
    <w:link w:val="24"/>
    <w:autoRedefine/>
    <w:qFormat/>
    <w:uiPriority w:val="0"/>
    <w:rPr>
      <w:rFonts w:ascii="宋体" w:hAnsi="Courier New"/>
      <w:kern w:val="2"/>
      <w:sz w:val="21"/>
    </w:rPr>
  </w:style>
  <w:style w:type="character" w:customStyle="1" w:styleId="198">
    <w:name w:val="结束语 字符"/>
    <w:link w:val="18"/>
    <w:autoRedefine/>
    <w:qFormat/>
    <w:uiPriority w:val="0"/>
    <w:rPr>
      <w:kern w:val="2"/>
      <w:sz w:val="24"/>
    </w:rPr>
  </w:style>
  <w:style w:type="character" w:customStyle="1" w:styleId="199">
    <w:name w:val="标题 Char1"/>
    <w:autoRedefine/>
    <w:qFormat/>
    <w:uiPriority w:val="0"/>
    <w:rPr>
      <w:rFonts w:ascii="Cambria" w:hAnsi="Cambria" w:cs="Times New Roman"/>
      <w:b/>
      <w:bCs/>
      <w:kern w:val="2"/>
      <w:sz w:val="32"/>
      <w:szCs w:val="32"/>
    </w:rPr>
  </w:style>
  <w:style w:type="character" w:customStyle="1" w:styleId="200">
    <w:name w:val="尾注文本 字符"/>
    <w:link w:val="29"/>
    <w:autoRedefine/>
    <w:qFormat/>
    <w:uiPriority w:val="0"/>
  </w:style>
  <w:style w:type="character" w:customStyle="1" w:styleId="201">
    <w:name w:val="标题 8 字符"/>
    <w:link w:val="9"/>
    <w:autoRedefine/>
    <w:qFormat/>
    <w:uiPriority w:val="0"/>
    <w:rPr>
      <w:rFonts w:ascii="Arial" w:hAnsi="Arial" w:eastAsia="黑体"/>
      <w:sz w:val="24"/>
    </w:rPr>
  </w:style>
  <w:style w:type="character" w:customStyle="1" w:styleId="202">
    <w:name w:val="正文文本 2 Char1"/>
    <w:autoRedefine/>
    <w:qFormat/>
    <w:uiPriority w:val="0"/>
    <w:rPr>
      <w:kern w:val="2"/>
      <w:sz w:val="21"/>
      <w:szCs w:val="24"/>
    </w:rPr>
  </w:style>
  <w:style w:type="character" w:customStyle="1" w:styleId="203">
    <w:name w:val="正文文本 字符"/>
    <w:link w:val="19"/>
    <w:autoRedefine/>
    <w:qFormat/>
    <w:uiPriority w:val="0"/>
    <w:rPr>
      <w:b/>
      <w:sz w:val="28"/>
    </w:rPr>
  </w:style>
  <w:style w:type="character" w:customStyle="1" w:styleId="204">
    <w:name w:val="页眉 Char"/>
    <w:autoRedefine/>
    <w:qFormat/>
    <w:uiPriority w:val="0"/>
    <w:rPr>
      <w:kern w:val="2"/>
      <w:sz w:val="18"/>
      <w:szCs w:val="18"/>
    </w:rPr>
  </w:style>
  <w:style w:type="character" w:customStyle="1" w:styleId="205">
    <w:name w:val="正文文本 2 字符"/>
    <w:link w:val="40"/>
    <w:autoRedefine/>
    <w:qFormat/>
    <w:uiPriority w:val="0"/>
    <w:rPr>
      <w:rFonts w:ascii="宋体" w:hAnsi="宋体"/>
      <w:kern w:val="2"/>
      <w:sz w:val="30"/>
      <w:szCs w:val="24"/>
    </w:rPr>
  </w:style>
  <w:style w:type="character" w:customStyle="1" w:styleId="206">
    <w:name w:val="批注主题 Char1"/>
    <w:autoRedefine/>
    <w:qFormat/>
    <w:uiPriority w:val="0"/>
    <w:rPr>
      <w:b/>
      <w:bCs/>
      <w:kern w:val="2"/>
      <w:sz w:val="21"/>
      <w:szCs w:val="24"/>
    </w:rPr>
  </w:style>
  <w:style w:type="character" w:customStyle="1" w:styleId="207">
    <w:name w:val="页眉 字符"/>
    <w:link w:val="32"/>
    <w:autoRedefine/>
    <w:qFormat/>
    <w:uiPriority w:val="0"/>
    <w:rPr>
      <w:kern w:val="2"/>
      <w:sz w:val="18"/>
      <w:szCs w:val="18"/>
    </w:rPr>
  </w:style>
  <w:style w:type="character" w:customStyle="1" w:styleId="208">
    <w:name w:val="文档结构图 字符"/>
    <w:link w:val="14"/>
    <w:autoRedefine/>
    <w:qFormat/>
    <w:uiPriority w:val="0"/>
    <w:rPr>
      <w:shd w:val="clear" w:color="auto" w:fill="000080"/>
    </w:rPr>
  </w:style>
  <w:style w:type="character" w:customStyle="1" w:styleId="209">
    <w:name w:val="称呼 Char1"/>
    <w:autoRedefine/>
    <w:qFormat/>
    <w:uiPriority w:val="0"/>
    <w:rPr>
      <w:kern w:val="2"/>
      <w:sz w:val="21"/>
      <w:szCs w:val="24"/>
    </w:rPr>
  </w:style>
  <w:style w:type="character" w:customStyle="1" w:styleId="210">
    <w:name w:val="A Text Lieferumfang Char"/>
    <w:link w:val="116"/>
    <w:autoRedefine/>
    <w:qFormat/>
    <w:uiPriority w:val="0"/>
    <w:rPr>
      <w:rFonts w:ascii="Arial" w:hAnsi="Arial" w:eastAsia="宋体"/>
      <w:kern w:val="2"/>
      <w:sz w:val="21"/>
      <w:szCs w:val="24"/>
      <w:lang w:val="de-DE" w:eastAsia="de-DE"/>
    </w:rPr>
  </w:style>
  <w:style w:type="character" w:customStyle="1" w:styleId="211">
    <w:name w:val="页脚 字符"/>
    <w:link w:val="31"/>
    <w:autoRedefine/>
    <w:qFormat/>
    <w:uiPriority w:val="0"/>
    <w:rPr>
      <w:kern w:val="2"/>
      <w:sz w:val="18"/>
      <w:szCs w:val="18"/>
    </w:rPr>
  </w:style>
  <w:style w:type="character" w:customStyle="1" w:styleId="212">
    <w:name w:val="正文文本缩进 3 字符"/>
    <w:link w:val="37"/>
    <w:autoRedefine/>
    <w:qFormat/>
    <w:uiPriority w:val="0"/>
    <w:rPr>
      <w:spacing w:val="4"/>
      <w:sz w:val="28"/>
    </w:rPr>
  </w:style>
  <w:style w:type="character" w:customStyle="1" w:styleId="213">
    <w:name w:val="unnamed21"/>
    <w:autoRedefine/>
    <w:qFormat/>
    <w:uiPriority w:val="0"/>
    <w:rPr>
      <w:kern w:val="0"/>
      <w:sz w:val="20"/>
      <w:szCs w:val="20"/>
    </w:rPr>
  </w:style>
  <w:style w:type="character" w:customStyle="1" w:styleId="214">
    <w:name w:val="标题 4 字符"/>
    <w:link w:val="5"/>
    <w:autoRedefine/>
    <w:qFormat/>
    <w:uiPriority w:val="0"/>
    <w:rPr>
      <w:rFonts w:ascii="Arial" w:hAnsi="Arial" w:eastAsia="黑体"/>
      <w:b/>
      <w:sz w:val="28"/>
    </w:rPr>
  </w:style>
  <w:style w:type="character" w:customStyle="1" w:styleId="215">
    <w:name w:val="标题 5 字符"/>
    <w:link w:val="6"/>
    <w:autoRedefine/>
    <w:qFormat/>
    <w:uiPriority w:val="0"/>
    <w:rPr>
      <w:rFonts w:ascii="Times New Roman" w:hAnsi="Times New Roman"/>
      <w:b/>
      <w:sz w:val="28"/>
    </w:rPr>
  </w:style>
  <w:style w:type="character" w:customStyle="1" w:styleId="216">
    <w:name w:val="批注主题 字符"/>
    <w:link w:val="43"/>
    <w:autoRedefine/>
    <w:qFormat/>
    <w:uiPriority w:val="0"/>
    <w:rPr>
      <w:b/>
      <w:bCs/>
    </w:rPr>
  </w:style>
  <w:style w:type="character" w:customStyle="1" w:styleId="217">
    <w:name w:val="批注框文本 Char1"/>
    <w:autoRedefine/>
    <w:qFormat/>
    <w:uiPriority w:val="0"/>
    <w:rPr>
      <w:kern w:val="2"/>
      <w:sz w:val="18"/>
      <w:szCs w:val="18"/>
    </w:rPr>
  </w:style>
  <w:style w:type="character" w:customStyle="1" w:styleId="218">
    <w:name w:val="文档结构图 Char1"/>
    <w:autoRedefine/>
    <w:qFormat/>
    <w:uiPriority w:val="0"/>
    <w:rPr>
      <w:rFonts w:ascii="宋体"/>
      <w:kern w:val="2"/>
      <w:sz w:val="18"/>
      <w:szCs w:val="18"/>
    </w:rPr>
  </w:style>
  <w:style w:type="character" w:customStyle="1" w:styleId="219">
    <w:name w:val="批注文字 Char"/>
    <w:autoRedefine/>
    <w:semiHidden/>
    <w:qFormat/>
    <w:uiPriority w:val="0"/>
    <w:rPr>
      <w:sz w:val="24"/>
    </w:rPr>
  </w:style>
  <w:style w:type="character" w:customStyle="1" w:styleId="220">
    <w:name w:val="脚注文本 Char1"/>
    <w:autoRedefine/>
    <w:qFormat/>
    <w:uiPriority w:val="0"/>
    <w:rPr>
      <w:kern w:val="2"/>
      <w:sz w:val="18"/>
      <w:szCs w:val="18"/>
    </w:rPr>
  </w:style>
  <w:style w:type="character" w:customStyle="1" w:styleId="221">
    <w:name w:val="正文文本缩进 字符"/>
    <w:link w:val="20"/>
    <w:autoRedefine/>
    <w:qFormat/>
    <w:uiPriority w:val="0"/>
    <w:rPr>
      <w:rFonts w:ascii="宋体"/>
      <w:b/>
      <w:kern w:val="2"/>
      <w:sz w:val="48"/>
    </w:rPr>
  </w:style>
  <w:style w:type="character" w:customStyle="1" w:styleId="222">
    <w:name w:val="脚注文本 字符"/>
    <w:link w:val="35"/>
    <w:autoRedefine/>
    <w:qFormat/>
    <w:uiPriority w:val="0"/>
    <w:rPr>
      <w:sz w:val="18"/>
    </w:rPr>
  </w:style>
  <w:style w:type="character" w:customStyle="1" w:styleId="223">
    <w:name w:val="批注文字 字符"/>
    <w:link w:val="15"/>
    <w:autoRedefine/>
    <w:qFormat/>
    <w:uiPriority w:val="0"/>
    <w:rPr>
      <w:kern w:val="2"/>
      <w:sz w:val="21"/>
      <w:szCs w:val="24"/>
    </w:rPr>
  </w:style>
  <w:style w:type="character" w:customStyle="1" w:styleId="224">
    <w:name w:val="标题 字符"/>
    <w:link w:val="42"/>
    <w:autoRedefine/>
    <w:qFormat/>
    <w:uiPriority w:val="0"/>
    <w:rPr>
      <w:rFonts w:ascii="Arial" w:hAnsi="Arial"/>
      <w:b/>
      <w:bCs/>
      <w:kern w:val="2"/>
      <w:sz w:val="32"/>
      <w:szCs w:val="32"/>
    </w:rPr>
  </w:style>
  <w:style w:type="character" w:customStyle="1" w:styleId="225">
    <w:name w:val="正文文本 3 Char1"/>
    <w:autoRedefine/>
    <w:qFormat/>
    <w:uiPriority w:val="0"/>
    <w:rPr>
      <w:kern w:val="2"/>
      <w:sz w:val="16"/>
      <w:szCs w:val="16"/>
    </w:rPr>
  </w:style>
  <w:style w:type="character" w:customStyle="1" w:styleId="226">
    <w:name w:val="标题 1 字符"/>
    <w:link w:val="2"/>
    <w:autoRedefine/>
    <w:qFormat/>
    <w:uiPriority w:val="0"/>
    <w:rPr>
      <w:b/>
      <w:kern w:val="44"/>
      <w:sz w:val="44"/>
      <w:szCs w:val="24"/>
    </w:rPr>
  </w:style>
  <w:style w:type="paragraph" w:customStyle="1" w:styleId="227">
    <w:name w:val="WPSOffice手动目录 1"/>
    <w:autoRedefine/>
    <w:qFormat/>
    <w:uiPriority w:val="0"/>
    <w:rPr>
      <w:rFonts w:ascii="Calibri" w:hAnsi="Calibri" w:eastAsia="宋体" w:cs="Times New Roman"/>
      <w:lang w:val="en-US" w:eastAsia="zh-CN" w:bidi="ar-SA"/>
    </w:rPr>
  </w:style>
  <w:style w:type="paragraph" w:customStyle="1" w:styleId="228">
    <w:name w:val="Table Text"/>
    <w:basedOn w:val="1"/>
    <w:autoRedefine/>
    <w:semiHidden/>
    <w:qFormat/>
    <w:uiPriority w:val="0"/>
    <w:pPr>
      <w:widowControl/>
      <w:kinsoku w:val="0"/>
      <w:autoSpaceDE w:val="0"/>
      <w:autoSpaceDN w:val="0"/>
      <w:adjustRightInd w:val="0"/>
      <w:snapToGrid w:val="0"/>
      <w:jc w:val="left"/>
      <w:textAlignment w:val="baseline"/>
    </w:pPr>
    <w:rPr>
      <w:rFonts w:ascii="Constantia" w:hAnsi="Constantia" w:eastAsia="Constantia" w:cs="Constantia"/>
      <w:snapToGrid w:val="0"/>
      <w:color w:val="000000"/>
      <w:kern w:val="0"/>
      <w:szCs w:val="21"/>
      <w:lang w:eastAsia="en-US"/>
    </w:rPr>
  </w:style>
  <w:style w:type="table" w:customStyle="1" w:styleId="229">
    <w:name w:val="Table Normal"/>
    <w:autoRedefine/>
    <w:semiHidden/>
    <w:unhideWhenUsed/>
    <w:qFormat/>
    <w:uiPriority w:val="0"/>
    <w:tblPr>
      <w:tblCellMar>
        <w:top w:w="0" w:type="dxa"/>
        <w:left w:w="0" w:type="dxa"/>
        <w:bottom w:w="0" w:type="dxa"/>
        <w:right w:w="0" w:type="dxa"/>
      </w:tblCellMar>
    </w:tblPr>
  </w:style>
  <w:style w:type="paragraph" w:customStyle="1" w:styleId="230">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231">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jiaxipera</Company>
  <Pages>25</Pages>
  <Words>9830</Words>
  <Characters>10627</Characters>
  <Lines>541</Lines>
  <Paragraphs>594</Paragraphs>
  <TotalTime>11</TotalTime>
  <ScaleCrop>false</ScaleCrop>
  <LinksUpToDate>false</LinksUpToDate>
  <CharactersWithSpaces>10826</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2025-06-11T02:59:00Z</dcterms:created>
  <dc:creator>xmb</dc:creator>
  <cp:lastModifiedBy>洪和</cp:lastModifiedBy>
  <cp:lastPrinted>2019-08-28T08:46:00Z</cp:lastPrinted>
  <dcterms:modified xsi:type="dcterms:W3CDTF">2025-06-16T09:25:04Z</dcterms:modified>
  <dc:title>主 要 设 备 情 况 一 览 表</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E735DA9AE85747F989D4FEC11A2089B0_13</vt:lpwstr>
  </property>
  <property fmtid="{D5CDD505-2E9C-101B-9397-08002B2CF9AE}" pid="4" name="KSOTemplateDocerSaveRecord">
    <vt:lpwstr>eyJoZGlkIjoiNTY5MjcwMmY5YjBjZTQ0MDg4OGM1YWMyYmZlMWFkOGUiLCJ1c2VySWQiOiIxMTUyNjYzNjU5In0=</vt:lpwstr>
  </property>
</Properties>
</file>