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1B77F">
      <w:pPr>
        <w:pStyle w:val="10"/>
      </w:pPr>
      <w:r>
        <w:rPr>
          <w:rFonts w:hint="eastAsia"/>
        </w:rPr>
        <w:t>加西贝拉园区二期退火连续炉采购项目</w:t>
      </w:r>
    </w:p>
    <w:p w14:paraId="0E253100">
      <w:pPr>
        <w:overflowPunct w:val="0"/>
        <w:spacing w:line="360" w:lineRule="exact"/>
        <w:rPr>
          <w:rFonts w:ascii="Verdana" w:hAnsi="Verdana"/>
          <w:b/>
          <w:bCs/>
          <w:sz w:val="24"/>
        </w:rPr>
      </w:pPr>
    </w:p>
    <w:p w14:paraId="52B59A29">
      <w:pPr>
        <w:overflowPunct w:val="0"/>
        <w:spacing w:line="360" w:lineRule="exact"/>
        <w:rPr>
          <w:rFonts w:ascii="宋体" w:hAnsi="宋体" w:cs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1、招标内容：</w:t>
      </w:r>
    </w:p>
    <w:p w14:paraId="3994187B">
      <w:pPr>
        <w:overflowPunct w:val="0"/>
        <w:spacing w:line="360" w:lineRule="exact"/>
        <w:rPr>
          <w:rFonts w:ascii="宋体" w:hAnsi="宋体"/>
          <w:b/>
          <w:spacing w:val="4"/>
        </w:rPr>
      </w:pPr>
      <w:r>
        <w:rPr>
          <w:rFonts w:hint="eastAsia" w:ascii="宋体" w:hAnsi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Verdana" w:hAnsi="Verdana"/>
          <w:b/>
          <w:bCs/>
          <w:sz w:val="24"/>
        </w:rPr>
        <w:t>连续炉</w:t>
      </w:r>
      <w:r>
        <w:fldChar w:fldCharType="begin"/>
      </w:r>
      <w:r>
        <w:instrText xml:space="preserve"> HYPERLINK \l "_Toc10113" </w:instrText>
      </w:r>
      <w:r>
        <w:fldChar w:fldCharType="separate"/>
      </w:r>
      <w:r>
        <w:rPr>
          <w:rFonts w:ascii="Verdana" w:hAnsi="Verdana"/>
          <w:b/>
          <w:bCs/>
          <w:sz w:val="24"/>
        </w:rPr>
        <w:t>采购项目</w:t>
      </w:r>
      <w:r>
        <w:rPr>
          <w:rFonts w:ascii="Verdana" w:hAnsi="Verdana"/>
          <w:b/>
          <w:bCs/>
          <w:sz w:val="24"/>
        </w:rPr>
        <w:fldChar w:fldCharType="end"/>
      </w:r>
      <w:r>
        <w:rPr>
          <w:rFonts w:hint="eastAsia"/>
          <w:sz w:val="24"/>
        </w:rPr>
        <w:t>：</w:t>
      </w:r>
    </w:p>
    <w:p w14:paraId="0AB9E7E7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1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437"/>
        <w:gridCol w:w="1265"/>
        <w:gridCol w:w="858"/>
        <w:gridCol w:w="980"/>
        <w:gridCol w:w="2579"/>
      </w:tblGrid>
      <w:tr w14:paraId="1501F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vAlign w:val="center"/>
          </w:tcPr>
          <w:p w14:paraId="4211F93B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437" w:type="dxa"/>
            <w:vAlign w:val="center"/>
          </w:tcPr>
          <w:p w14:paraId="42C3A61B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65" w:type="dxa"/>
            <w:vAlign w:val="center"/>
          </w:tcPr>
          <w:p w14:paraId="1ACD474D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58" w:type="dxa"/>
            <w:vAlign w:val="center"/>
          </w:tcPr>
          <w:p w14:paraId="6EADF780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80" w:type="dxa"/>
            <w:vAlign w:val="center"/>
          </w:tcPr>
          <w:p w14:paraId="71A54B08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vAlign w:val="center"/>
          </w:tcPr>
          <w:p w14:paraId="079B71F7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1E0E8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vAlign w:val="center"/>
          </w:tcPr>
          <w:p w14:paraId="232DA242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437" w:type="dxa"/>
            <w:vAlign w:val="center"/>
          </w:tcPr>
          <w:p w14:paraId="61272B1A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退火连续炉</w:t>
            </w:r>
          </w:p>
        </w:tc>
        <w:tc>
          <w:tcPr>
            <w:tcW w:w="1265" w:type="dxa"/>
            <w:vAlign w:val="center"/>
          </w:tcPr>
          <w:p w14:paraId="3398327F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858" w:type="dxa"/>
            <w:vAlign w:val="center"/>
          </w:tcPr>
          <w:p w14:paraId="1527DE1A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套</w:t>
            </w:r>
          </w:p>
        </w:tc>
        <w:tc>
          <w:tcPr>
            <w:tcW w:w="980" w:type="dxa"/>
            <w:vAlign w:val="center"/>
          </w:tcPr>
          <w:p w14:paraId="04D6B6BC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/>
                <w:spacing w:val="4"/>
              </w:rPr>
              <w:t>1</w:t>
            </w:r>
          </w:p>
        </w:tc>
        <w:tc>
          <w:tcPr>
            <w:tcW w:w="2579" w:type="dxa"/>
            <w:vAlign w:val="center"/>
          </w:tcPr>
          <w:p w14:paraId="32BA392E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安装地点东风路1</w:t>
            </w:r>
            <w:r>
              <w:rPr>
                <w:rFonts w:ascii="宋体" w:hAnsi="宋体"/>
                <w:spacing w:val="4"/>
              </w:rPr>
              <w:t>789号</w:t>
            </w:r>
          </w:p>
        </w:tc>
      </w:tr>
    </w:tbl>
    <w:p w14:paraId="3547F629">
      <w:pPr>
        <w:numPr>
          <w:ilvl w:val="0"/>
          <w:numId w:val="1"/>
        </w:numPr>
        <w:overflowPunct w:val="0"/>
        <w:spacing w:before="312" w:beforeLines="100"/>
        <w:rPr>
          <w:rFonts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标的交付</w:t>
      </w:r>
    </w:p>
    <w:p w14:paraId="189E2BEF">
      <w:pPr>
        <w:overflowPunct w:val="0"/>
        <w:rPr>
          <w:rFonts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2.1、</w:t>
      </w:r>
      <w:r>
        <w:rPr>
          <w:rFonts w:hint="eastAsia" w:ascii="宋体" w:hAnsi="宋体"/>
          <w:bCs/>
          <w:spacing w:val="4"/>
        </w:rPr>
        <w:t>交货时间：设备交货装运期最迟为</w:t>
      </w:r>
      <w:r>
        <w:rPr>
          <w:rFonts w:hint="eastAsia" w:ascii="宋体" w:hAnsi="宋体"/>
          <w:b/>
          <w:spacing w:val="4"/>
        </w:rPr>
        <w:t>合同签订后5个月内。</w:t>
      </w:r>
    </w:p>
    <w:p w14:paraId="21161D13">
      <w:pPr>
        <w:overflowPunct w:val="0"/>
        <w:rPr>
          <w:rFonts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2.2、交货地点：嘉兴市南湖区东风路1</w:t>
      </w:r>
      <w:r>
        <w:rPr>
          <w:rFonts w:ascii="宋体" w:hAnsi="宋体"/>
          <w:b/>
          <w:spacing w:val="4"/>
        </w:rPr>
        <w:t>789</w:t>
      </w:r>
      <w:r>
        <w:rPr>
          <w:rFonts w:hint="eastAsia" w:ascii="宋体" w:hAnsi="宋体"/>
          <w:b/>
          <w:spacing w:val="4"/>
        </w:rPr>
        <w:t>号</w:t>
      </w:r>
    </w:p>
    <w:p w14:paraId="2B0E2861">
      <w:pPr>
        <w:overflowPunct w:val="0"/>
        <w:rPr>
          <w:rFonts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2.3、设备安装地点：加西贝拉园区二期3</w:t>
      </w:r>
      <w:r>
        <w:rPr>
          <w:rFonts w:ascii="宋体" w:hAnsi="宋体"/>
          <w:b/>
          <w:spacing w:val="4"/>
        </w:rPr>
        <w:t>#厂房内</w:t>
      </w:r>
      <w:r>
        <w:rPr>
          <w:rFonts w:hint="eastAsia" w:ascii="宋体" w:hAnsi="宋体"/>
          <w:b/>
          <w:spacing w:val="4"/>
        </w:rPr>
        <w:t>。</w:t>
      </w:r>
    </w:p>
    <w:p w14:paraId="79F18C30">
      <w:pPr>
        <w:overflowPunct w:val="0"/>
        <w:spacing w:before="156" w:beforeLines="50"/>
        <w:rPr>
          <w:rFonts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4E016AE9">
      <w:pPr>
        <w:overflowPunct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3.1、 合格的投标人应具有完全履行合同的能力，具体应符合下列条件。</w:t>
      </w:r>
    </w:p>
    <w:p w14:paraId="6CB2B163">
      <w:pPr>
        <w:overflowPunct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3.1、 在专业技术、设备设施、人员组织、业绩经验等方面具有设计、制造、质量控制、经营管理的相应的资格和能力。</w:t>
      </w:r>
    </w:p>
    <w:p w14:paraId="1DFDF257">
      <w:pPr>
        <w:overflowPunct w:val="0"/>
        <w:rPr>
          <w:rFonts w:ascii="宋体" w:hAnsi="宋体"/>
          <w:bCs/>
        </w:rPr>
      </w:pPr>
      <w:r>
        <w:rPr>
          <w:rFonts w:hint="eastAsia" w:ascii="宋体" w:hAnsi="宋体"/>
          <w:bCs/>
          <w:spacing w:val="4"/>
        </w:rPr>
        <w:t>3.2、 具有完善的质量保证体系。</w:t>
      </w:r>
    </w:p>
    <w:p w14:paraId="3DB41BDD">
      <w:pPr>
        <w:overflowPunct w:val="0"/>
        <w:rPr>
          <w:rFonts w:ascii="宋体" w:hAnsi="宋体"/>
          <w:bCs/>
        </w:rPr>
      </w:pPr>
      <w:r>
        <w:rPr>
          <w:rFonts w:hint="eastAsia" w:ascii="宋体" w:hAnsi="宋体"/>
          <w:bCs/>
          <w:spacing w:val="4"/>
        </w:rPr>
        <w:t>3.4、</w:t>
      </w:r>
      <w:r>
        <w:rPr>
          <w:rFonts w:hint="eastAsia" w:ascii="宋体" w:hAnsi="宋体"/>
          <w:bCs/>
        </w:rPr>
        <w:t xml:space="preserve"> 具有良好的银行资信和商业信誉。</w:t>
      </w:r>
    </w:p>
    <w:p w14:paraId="1866EB58">
      <w:pPr>
        <w:overflowPunct w:val="0"/>
        <w:rPr>
          <w:bCs/>
          <w:szCs w:val="21"/>
        </w:rPr>
      </w:pPr>
      <w:r>
        <w:rPr>
          <w:rFonts w:hint="eastAsia" w:ascii="宋体" w:hAnsi="宋体"/>
          <w:bCs/>
          <w:spacing w:val="4"/>
        </w:rPr>
        <w:t>3.5、</w:t>
      </w:r>
      <w:r>
        <w:rPr>
          <w:rFonts w:hint="eastAsia" w:ascii="宋体" w:hAnsi="宋体"/>
          <w:bCs/>
        </w:rPr>
        <w:t xml:space="preserve"> 设备制造商须具有相关设计制造经验。</w:t>
      </w:r>
    </w:p>
    <w:p w14:paraId="565192A4">
      <w:pPr>
        <w:overflowPunct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3.7、 经销商或代理商需提供相应的资质证明。</w:t>
      </w:r>
    </w:p>
    <w:p w14:paraId="4424BDB5">
      <w:pPr>
        <w:overflowPunct w:val="0"/>
        <w:spacing w:before="156" w:beforeLines="50"/>
        <w:rPr>
          <w:rFonts w:ascii="宋体" w:hAnsi="宋体"/>
          <w:b/>
          <w:spacing w:val="4"/>
        </w:rPr>
      </w:pPr>
      <w:r>
        <w:rPr>
          <w:rFonts w:ascii="宋体" w:hAnsi="宋体"/>
          <w:b/>
          <w:spacing w:val="4"/>
        </w:rPr>
        <w:t>4</w:t>
      </w:r>
      <w:r>
        <w:rPr>
          <w:rFonts w:hint="eastAsia" w:ascii="宋体" w:hAnsi="宋体"/>
          <w:b/>
          <w:spacing w:val="4"/>
        </w:rPr>
        <w:t>、投标保证金</w:t>
      </w:r>
    </w:p>
    <w:p w14:paraId="3063B68A">
      <w:pPr>
        <w:overflowPunct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4.1、次投标需要投标方在投标截止日期之前向招标方缴纳投标</w:t>
      </w:r>
      <w:r>
        <w:rPr>
          <w:rFonts w:hint="eastAsia" w:ascii="宋体" w:hAnsi="宋体"/>
          <w:b/>
          <w:spacing w:val="4"/>
        </w:rPr>
        <w:t>保证金人民币</w:t>
      </w:r>
      <w:r>
        <w:rPr>
          <w:rFonts w:ascii="宋体" w:hAnsi="宋体"/>
          <w:b/>
          <w:spacing w:val="4"/>
        </w:rPr>
        <w:t>捌万圆</w:t>
      </w:r>
      <w:r>
        <w:rPr>
          <w:rFonts w:hint="eastAsia" w:ascii="宋体" w:hAnsi="宋体"/>
          <w:b/>
          <w:spacing w:val="4"/>
        </w:rPr>
        <w:t>整</w:t>
      </w:r>
      <w:r>
        <w:rPr>
          <w:rFonts w:hint="eastAsia" w:ascii="宋体" w:hAnsi="宋体"/>
          <w:bCs/>
          <w:spacing w:val="4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spacing w:val="4"/>
        </w:rPr>
        <w:t>支付时请注明：</w:t>
      </w:r>
      <w:r>
        <w:rPr>
          <w:rFonts w:hint="eastAsia" w:ascii="宋体" w:hAnsi="宋体"/>
          <w:spacing w:val="4"/>
        </w:rPr>
        <w:t>加西贝拉园区二期退火连续炉采购项目</w:t>
      </w:r>
      <w:r>
        <w:rPr>
          <w:rFonts w:hint="eastAsia" w:ascii="宋体" w:hAnsi="宋体"/>
          <w:b/>
          <w:spacing w:val="4"/>
        </w:rPr>
        <w:t>保证金人民币</w:t>
      </w:r>
      <w:r>
        <w:rPr>
          <w:rFonts w:ascii="宋体" w:hAnsi="宋体"/>
          <w:b/>
          <w:spacing w:val="4"/>
        </w:rPr>
        <w:t>8</w:t>
      </w:r>
      <w:r>
        <w:rPr>
          <w:rFonts w:hint="eastAsia" w:ascii="宋体" w:hAnsi="宋体"/>
          <w:b/>
          <w:spacing w:val="4"/>
        </w:rPr>
        <w:t>万元整</w:t>
      </w:r>
      <w:r>
        <w:rPr>
          <w:rFonts w:hint="eastAsia" w:ascii="宋体" w:hAnsi="宋体"/>
          <w:bCs/>
          <w:spacing w:val="4"/>
        </w:rPr>
        <w:t>。</w:t>
      </w:r>
    </w:p>
    <w:p w14:paraId="26047481">
      <w:pPr>
        <w:overflowPunct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4.2、如投标方在投标截止日期未向招标方缴纳投标保证金，且未开具相关证明，则投标无效。</w:t>
      </w:r>
    </w:p>
    <w:p w14:paraId="53F77673">
      <w:pPr>
        <w:overflowPunct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4.3、招标方有权认定投标方是否存在扰乱本项目招投标行为，一旦认定且投标方存在扰乱本项目招投标行为，则招标方有权没收保证金。</w:t>
      </w:r>
    </w:p>
    <w:p w14:paraId="20CD6635">
      <w:pPr>
        <w:overflowPunct w:val="0"/>
        <w:spacing w:before="156" w:beforeLines="50" w:line="360" w:lineRule="exact"/>
        <w:rPr>
          <w:rFonts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5、投标时间、地点：</w:t>
      </w:r>
    </w:p>
    <w:p w14:paraId="6D0ED4D6">
      <w:pPr>
        <w:overflowPunct w:val="0"/>
        <w:rPr>
          <w:rFonts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</w:rPr>
        <w:t xml:space="preserve">5.1、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</w:rPr>
        <w:t>202</w:t>
      </w:r>
      <w:r>
        <w:rPr>
          <w:rFonts w:ascii="宋体" w:hAnsi="宋体"/>
          <w:b/>
          <w:color w:val="000000"/>
          <w:spacing w:val="4"/>
        </w:rPr>
        <w:t>5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ascii="宋体" w:hAnsi="宋体"/>
          <w:b/>
          <w:color w:val="000000"/>
          <w:spacing w:val="4"/>
        </w:rPr>
        <w:t>10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28</w:t>
      </w:r>
      <w:r>
        <w:rPr>
          <w:rFonts w:hint="eastAsia" w:ascii="宋体" w:hAnsi="宋体"/>
          <w:b/>
          <w:color w:val="000000"/>
          <w:spacing w:val="4"/>
        </w:rPr>
        <w:t>日上午1</w:t>
      </w:r>
      <w:r>
        <w:rPr>
          <w:rFonts w:ascii="宋体" w:hAnsi="宋体"/>
          <w:b/>
          <w:color w:val="000000"/>
          <w:spacing w:val="4"/>
        </w:rPr>
        <w:t>2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4124FC7E">
      <w:pPr>
        <w:overflowPunct w:val="0"/>
        <w:rPr>
          <w:rFonts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5.2、</w:t>
      </w:r>
      <w:r>
        <w:rPr>
          <w:rFonts w:hint="eastAsia" w:ascii="宋体" w:hAnsi="宋体"/>
          <w:spacing w:val="4"/>
        </w:rPr>
        <w:t>投标文件一式三份(一正二副),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字样。信封上应加盖投标人公章。投标文件可采用送达或快递的方式递交，递送所需时间请自行考虑，</w:t>
      </w:r>
      <w:r>
        <w:rPr>
          <w:rFonts w:hint="eastAsia" w:ascii="宋体" w:hAnsi="宋体"/>
          <w:b/>
          <w:bCs/>
          <w:spacing w:val="4"/>
        </w:rPr>
        <w:t>快递方式必须在外包装注明为：</w:t>
      </w:r>
      <w:r>
        <w:rPr>
          <w:rFonts w:hint="eastAsia" w:ascii="宋体" w:hAnsi="宋体"/>
          <w:spacing w:val="4"/>
        </w:rPr>
        <w:t>加西贝拉园区二期退火连续炉采购项目</w:t>
      </w:r>
      <w:r>
        <w:rPr>
          <w:rFonts w:hint="eastAsia" w:ascii="宋体" w:hAnsi="宋体"/>
          <w:b/>
          <w:bCs/>
          <w:spacing w:val="4"/>
        </w:rPr>
        <w:t>“……”单位投标书</w:t>
      </w:r>
      <w:r>
        <w:rPr>
          <w:rFonts w:hint="eastAsia" w:ascii="宋体" w:hAnsi="宋体"/>
          <w:spacing w:val="4"/>
        </w:rPr>
        <w:t>。</w:t>
      </w:r>
    </w:p>
    <w:p w14:paraId="49397465">
      <w:pPr>
        <w:overflowPunct w:val="0"/>
        <w:rPr>
          <w:rFonts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5.3、</w:t>
      </w:r>
      <w:r>
        <w:rPr>
          <w:rFonts w:hint="eastAsia" w:ascii="宋体" w:hAnsi="宋体"/>
          <w:spacing w:val="4"/>
        </w:rPr>
        <w:t xml:space="preserve"> 投标地点：加西贝拉压缩机有限公司园区项目办（行政大楼</w:t>
      </w:r>
      <w:r>
        <w:rPr>
          <w:rFonts w:ascii="宋体" w:hAnsi="宋体"/>
          <w:spacing w:val="4"/>
        </w:rPr>
        <w:t>309</w:t>
      </w:r>
      <w:r>
        <w:rPr>
          <w:rFonts w:hint="eastAsia" w:ascii="宋体" w:hAnsi="宋体"/>
          <w:spacing w:val="4"/>
        </w:rPr>
        <w:t xml:space="preserve">室） </w:t>
      </w:r>
    </w:p>
    <w:p w14:paraId="37D14D86">
      <w:pPr>
        <w:overflowPunct w:val="0"/>
        <w:ind w:firstLine="654" w:firstLineChars="300"/>
        <w:rPr>
          <w:rFonts w:ascii="宋体" w:hAnsi="宋体"/>
          <w:spacing w:val="4"/>
        </w:rPr>
      </w:pPr>
      <w:r>
        <w:rPr>
          <w:rFonts w:hint="eastAsia" w:ascii="宋体" w:hAnsi="宋体"/>
          <w:spacing w:val="4"/>
        </w:rPr>
        <w:t>联系人：冯伦  电话：0573-82</w:t>
      </w:r>
      <w:r>
        <w:rPr>
          <w:rFonts w:ascii="宋体" w:hAnsi="宋体"/>
          <w:spacing w:val="4"/>
        </w:rPr>
        <w:t>586285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3AC788A5">
      <w:pPr>
        <w:overflowPunct w:val="0"/>
        <w:jc w:val="left"/>
        <w:rPr>
          <w:rFonts w:ascii="宋体" w:hAnsi="宋体"/>
          <w:spacing w:val="4"/>
        </w:rPr>
      </w:pPr>
    </w:p>
    <w:p w14:paraId="25B2C8AB">
      <w:pPr>
        <w:overflowPunct w:val="0"/>
        <w:jc w:val="right"/>
        <w:rPr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0088D531">
      <w:pPr>
        <w:overflowPunct w:val="0"/>
        <w:ind w:left="218" w:hanging="218" w:hangingChars="104"/>
        <w:jc w:val="center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                园区项目办      </w:t>
      </w:r>
    </w:p>
    <w:p w14:paraId="3CC783F2">
      <w:pPr>
        <w:overflowPunct w:val="0"/>
        <w:jc w:val="center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bookmarkStart w:id="0" w:name="_GoBack"/>
      <w:bookmarkEnd w:id="0"/>
      <w:r>
        <w:rPr>
          <w:rFonts w:hint="eastAsia"/>
          <w:bCs/>
          <w:szCs w:val="21"/>
        </w:rPr>
        <w:t xml:space="preserve">                         2025年</w:t>
      </w:r>
      <w:r>
        <w:rPr>
          <w:bCs/>
          <w:szCs w:val="21"/>
        </w:rPr>
        <w:t>10</w:t>
      </w:r>
      <w:r>
        <w:rPr>
          <w:rFonts w:hint="eastAsia"/>
          <w:bCs/>
          <w:szCs w:val="21"/>
        </w:rPr>
        <w:t>月</w:t>
      </w:r>
      <w:r>
        <w:rPr>
          <w:bCs/>
          <w:szCs w:val="21"/>
        </w:rPr>
        <w:t>1</w:t>
      </w:r>
      <w:r>
        <w:rPr>
          <w:rFonts w:hint="eastAsia"/>
          <w:bCs/>
          <w:szCs w:val="21"/>
          <w:lang w:val="en-US" w:eastAsia="zh-CN"/>
        </w:rPr>
        <w:t>7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E7CD9C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907AB1C">
    <w:pPr>
      <w:pStyle w:val="6"/>
    </w:pPr>
  </w:p>
  <w:p w14:paraId="26789E7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D12BA8"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  <w:p w14:paraId="1A631375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F425FC">
    <w:pPr>
      <w:pStyle w:val="7"/>
      <w:framePr w:wrap="around" w:vAnchor="text" w:hAnchor="margin" w:xAlign="right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5FF02EF2">
    <w:pPr>
      <w:pStyle w:val="7"/>
      <w:ind w:right="360"/>
    </w:pPr>
  </w:p>
  <w:p w14:paraId="6614D7CE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42D39"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89"/>
  <w:drawingGridVerticalSpacing w:val="38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8432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02AC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17ECF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03B0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146DA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A3C0AA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DA35FCB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2670920"/>
    <w:rsid w:val="531830B5"/>
    <w:rsid w:val="53787409"/>
    <w:rsid w:val="54AD0435"/>
    <w:rsid w:val="55AF1596"/>
    <w:rsid w:val="56736D65"/>
    <w:rsid w:val="57185276"/>
    <w:rsid w:val="57727060"/>
    <w:rsid w:val="59ED50F2"/>
    <w:rsid w:val="5BE6753C"/>
    <w:rsid w:val="5C045106"/>
    <w:rsid w:val="5C540530"/>
    <w:rsid w:val="5C642943"/>
    <w:rsid w:val="5DBB2ECC"/>
    <w:rsid w:val="5F224A3F"/>
    <w:rsid w:val="5FE05B96"/>
    <w:rsid w:val="603229EC"/>
    <w:rsid w:val="603434C2"/>
    <w:rsid w:val="64F452D1"/>
    <w:rsid w:val="692E5C83"/>
    <w:rsid w:val="698F2F63"/>
    <w:rsid w:val="69B82B72"/>
    <w:rsid w:val="6AA128A2"/>
    <w:rsid w:val="6BF552A0"/>
    <w:rsid w:val="6CFB2E8B"/>
    <w:rsid w:val="713448F2"/>
    <w:rsid w:val="75692E7B"/>
    <w:rsid w:val="75F17B06"/>
    <w:rsid w:val="774E77F3"/>
    <w:rsid w:val="79565059"/>
    <w:rsid w:val="79F50524"/>
    <w:rsid w:val="7B6F39EA"/>
    <w:rsid w:val="7B717FCC"/>
    <w:rsid w:val="7F2C3CB8"/>
    <w:rsid w:val="7F71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paragraph" w:styleId="10">
    <w:name w:val="Title"/>
    <w:basedOn w:val="1"/>
    <w:next w:val="1"/>
    <w:link w:val="47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character" w:customStyle="1" w:styleId="15">
    <w:name w:val="页脚 Char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6">
    <w:name w:val="apple-tab-span"/>
    <w:basedOn w:val="13"/>
    <w:autoRedefine/>
    <w:qFormat/>
    <w:uiPriority w:val="0"/>
  </w:style>
  <w:style w:type="paragraph" w:customStyle="1" w:styleId="17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1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3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3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5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1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6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7">
    <w:name w:val="标题 Char"/>
    <w:basedOn w:val="13"/>
    <w:link w:val="10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855</Words>
  <Characters>951</Characters>
  <Lines>8</Lines>
  <Paragraphs>2</Paragraphs>
  <TotalTime>34</TotalTime>
  <ScaleCrop>false</ScaleCrop>
  <LinksUpToDate>false</LinksUpToDate>
  <CharactersWithSpaces>1126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Windows</cp:lastModifiedBy>
  <cp:lastPrinted>2022-09-30T06:25:00Z</cp:lastPrinted>
  <dcterms:modified xsi:type="dcterms:W3CDTF">2025-10-17T01:45:06Z</dcterms:modified>
  <dc:title>主 要 设 备 情 况 一 览 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eyJoZGlkIjoiNzc5MzM2NGJlMWMwYjNmYjg0MDRmYjBiMDk5ODg4YjIifQ==</vt:lpwstr>
  </property>
</Properties>
</file>